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Theme="majorEastAsia" w:hAnsiTheme="majorEastAsia" w:eastAsiaTheme="majorEastAsia" w:cstheme="majorEastAsia"/>
          <w:sz w:val="44"/>
          <w:szCs w:val="44"/>
        </w:rPr>
      </w:pPr>
      <w:bookmarkStart w:id="0" w:name="_Toc22689"/>
    </w:p>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Theme="majorEastAsia" w:hAnsiTheme="majorEastAsia" w:eastAsiaTheme="majorEastAsia" w:cstheme="majorEastAsia"/>
          <w:sz w:val="44"/>
          <w:szCs w:val="44"/>
        </w:rPr>
      </w:pPr>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辽宁省机关事务管理办法</w:t>
      </w:r>
      <w:bookmarkEnd w:id="0"/>
    </w:p>
    <w:p>
      <w:pPr>
        <w:pageBreakBefore w:val="0"/>
        <w:kinsoku/>
        <w:wordWrap/>
        <w:overflowPunct/>
        <w:topLinePunct w:val="0"/>
        <w:autoSpaceDE/>
        <w:bidi w:val="0"/>
        <w:adjustRightInd/>
        <w:snapToGrid/>
        <w:spacing w:beforeLines="0" w:afterLines="0" w:line="240" w:lineRule="auto"/>
        <w:ind w:firstLine="640" w:firstLineChars="20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（2019年2月20日辽宁省人民政府令第326号公布 自2019年4月16日起施行）</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ascii="仿宋" w:hAnsi="仿宋"/>
          <w:sz w:val="32"/>
          <w:szCs w:val="32"/>
        </w:rPr>
        <w:t xml:space="preserve"> </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r>
        <w:rPr>
          <w:rFonts w:hint="eastAsia"/>
          <w:sz w:val="32"/>
          <w:szCs w:val="32"/>
        </w:rPr>
        <w:t>目  录</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bookmarkStart w:id="1" w:name="_Toc2278"/>
      <w:r>
        <w:rPr>
          <w:rFonts w:hint="eastAsia"/>
          <w:sz w:val="32"/>
          <w:szCs w:val="32"/>
        </w:rPr>
        <w:t>第一章　总  则</w:t>
      </w:r>
      <w:bookmarkEnd w:id="1"/>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bookmarkStart w:id="2" w:name="_Toc26219"/>
      <w:r>
        <w:rPr>
          <w:rFonts w:hint="eastAsia"/>
          <w:sz w:val="32"/>
          <w:szCs w:val="32"/>
        </w:rPr>
        <w:t>第二章　经费管理</w:t>
      </w:r>
      <w:bookmarkEnd w:id="2"/>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bookmarkStart w:id="3" w:name="_Toc17228"/>
      <w:r>
        <w:rPr>
          <w:rFonts w:hint="eastAsia"/>
          <w:sz w:val="32"/>
          <w:szCs w:val="32"/>
        </w:rPr>
        <w:t>第三章　资产管理</w:t>
      </w:r>
      <w:bookmarkEnd w:id="3"/>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bookmarkStart w:id="4" w:name="_Toc19209"/>
      <w:r>
        <w:rPr>
          <w:rFonts w:hint="eastAsia"/>
          <w:sz w:val="32"/>
          <w:szCs w:val="32"/>
        </w:rPr>
        <w:t>第四章　服务管理</w:t>
      </w:r>
      <w:bookmarkEnd w:id="4"/>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bookmarkStart w:id="5" w:name="_Toc7331"/>
      <w:r>
        <w:rPr>
          <w:rFonts w:hint="eastAsia"/>
          <w:sz w:val="32"/>
          <w:szCs w:val="32"/>
        </w:rPr>
        <w:t>第五章　监督检查</w:t>
      </w:r>
      <w:bookmarkEnd w:id="5"/>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rPr>
      </w:pPr>
      <w:bookmarkStart w:id="6" w:name="_Toc24983"/>
      <w:r>
        <w:rPr>
          <w:rFonts w:hint="eastAsia"/>
          <w:sz w:val="32"/>
          <w:szCs w:val="32"/>
        </w:rPr>
        <w:t>第六章　法律责任</w:t>
      </w:r>
      <w:bookmarkEnd w:id="6"/>
    </w:p>
    <w:p>
      <w:pPr>
        <w:pageBreakBefore w:val="0"/>
        <w:kinsoku/>
        <w:wordWrap/>
        <w:overflowPunct/>
        <w:topLinePunct w:val="0"/>
        <w:autoSpaceDE/>
        <w:bidi w:val="0"/>
        <w:adjustRightInd/>
        <w:snapToGrid/>
        <w:spacing w:line="240" w:lineRule="auto"/>
        <w:ind w:firstLine="640" w:firstLineChars="200"/>
        <w:jc w:val="both"/>
        <w:outlineLvl w:val="9"/>
        <w:rPr>
          <w:sz w:val="32"/>
          <w:szCs w:val="32"/>
        </w:rPr>
      </w:pPr>
      <w:bookmarkStart w:id="7" w:name="_Toc18660"/>
      <w:r>
        <w:rPr>
          <w:rFonts w:hint="eastAsia"/>
          <w:sz w:val="32"/>
          <w:szCs w:val="32"/>
        </w:rPr>
        <w:t>第七章　附  则</w:t>
      </w:r>
      <w:bookmarkEnd w:id="7"/>
    </w:p>
    <w:p>
      <w:pPr>
        <w:pageBreakBefore w:val="0"/>
        <w:numPr>
          <w:ilvl w:val="0"/>
          <w:numId w:val="0"/>
        </w:numPr>
        <w:kinsoku/>
        <w:wordWrap/>
        <w:overflowPunct/>
        <w:topLinePunct w:val="0"/>
        <w:autoSpaceDE/>
        <w:bidi w:val="0"/>
        <w:adjustRightInd/>
        <w:snapToGrid/>
        <w:spacing w:line="240" w:lineRule="auto"/>
        <w:jc w:val="both"/>
        <w:outlineLvl w:val="9"/>
        <w:rPr>
          <w:rFonts w:hint="eastAsia" w:ascii="仿宋" w:hAnsi="仿宋" w:eastAsia="黑体"/>
          <w:sz w:val="32"/>
          <w:szCs w:val="32"/>
        </w:rPr>
      </w:pPr>
      <w:bookmarkStart w:id="8" w:name="_Toc1584"/>
    </w:p>
    <w:p>
      <w:pPr>
        <w:pageBreakBefore w:val="0"/>
        <w:numPr>
          <w:ilvl w:val="0"/>
          <w:numId w:val="0"/>
        </w:numPr>
        <w:kinsoku/>
        <w:wordWrap/>
        <w:overflowPunct/>
        <w:topLinePunct w:val="0"/>
        <w:autoSpaceDE/>
        <w:bidi w:val="0"/>
        <w:adjustRightInd/>
        <w:snapToGrid/>
        <w:spacing w:line="240" w:lineRule="auto"/>
        <w:jc w:val="center"/>
        <w:outlineLvl w:val="9"/>
        <w:rPr>
          <w:rFonts w:hint="eastAsia" w:ascii="仿宋" w:hAnsi="仿宋" w:eastAsia="黑体"/>
          <w:sz w:val="32"/>
          <w:szCs w:val="32"/>
        </w:rPr>
      </w:pPr>
      <w:r>
        <w:rPr>
          <w:rFonts w:hint="eastAsia" w:ascii="仿宋" w:hAnsi="仿宋" w:eastAsia="黑体"/>
          <w:sz w:val="32"/>
          <w:szCs w:val="32"/>
          <w:lang w:val="en-US" w:eastAsia="zh-CN"/>
        </w:rPr>
        <w:t xml:space="preserve">第一章  </w:t>
      </w:r>
      <w:r>
        <w:rPr>
          <w:rFonts w:hint="eastAsia" w:ascii="仿宋" w:hAnsi="仿宋" w:eastAsia="黑体"/>
          <w:sz w:val="32"/>
          <w:szCs w:val="32"/>
        </w:rPr>
        <w:t>总  则</w:t>
      </w:r>
      <w:bookmarkEnd w:id="8"/>
    </w:p>
    <w:p>
      <w:pPr>
        <w:pStyle w:val="2"/>
        <w:numPr>
          <w:ilvl w:val="0"/>
          <w:numId w:val="0"/>
        </w:numPr>
        <w:rPr>
          <w:rFonts w:hint="eastAsia"/>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第一条  </w:t>
      </w:r>
      <w:r>
        <w:rPr>
          <w:rFonts w:hint="eastAsia" w:ascii="仿宋" w:hAnsi="仿宋"/>
          <w:sz w:val="32"/>
          <w:szCs w:val="32"/>
        </w:rPr>
        <w:t>为了加强机关事务管理，保障机关正常运行，降低运行成本，建设节约型机关，根据《机关事务管理条例》等有关规定，结合我省实际，制定本办法。</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第二条  </w:t>
      </w:r>
      <w:r>
        <w:rPr>
          <w:rFonts w:hint="eastAsia" w:ascii="仿宋" w:hAnsi="仿宋"/>
          <w:sz w:val="32"/>
          <w:szCs w:val="32"/>
        </w:rPr>
        <w:t>我省各级人民政府及其部门的机关事务管理活动，适用本办法。</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本办法所称机关事务，是指经费、资产、服务和节能等保障机关正常运行的相关事项。</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第三条  </w:t>
      </w:r>
      <w:r>
        <w:rPr>
          <w:rFonts w:hint="eastAsia" w:ascii="仿宋" w:hAnsi="仿宋"/>
          <w:sz w:val="32"/>
          <w:szCs w:val="32"/>
        </w:rPr>
        <w:t>县级以上人民政府应当推进政府机关事务的统一管理，建立健全标准化管理制度，统筹配置资源。</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第四条  </w:t>
      </w:r>
      <w:r>
        <w:rPr>
          <w:rFonts w:hint="eastAsia" w:ascii="仿宋" w:hAnsi="仿宋"/>
          <w:sz w:val="32"/>
          <w:szCs w:val="32"/>
        </w:rPr>
        <w:t>县级以上人民政府机关事务主管部门负责本级政府机关事务管理工作，指导下级政府机关事务管理工作。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sz w:val="32"/>
          <w:szCs w:val="32"/>
        </w:rPr>
        <w:t>财政、发展改革、审计和自然资源等部门按照职责分工做好机关事务管理的相关工作。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第</w:t>
      </w:r>
      <w:r>
        <w:rPr>
          <w:rFonts w:hint="eastAsia" w:ascii="仿宋" w:hAnsi="仿宋" w:eastAsia="黑体"/>
          <w:sz w:val="32"/>
          <w:szCs w:val="32"/>
          <w:lang w:val="en-US" w:eastAsia="zh-CN"/>
        </w:rPr>
        <w:t>五</w:t>
      </w:r>
      <w:r>
        <w:rPr>
          <w:rFonts w:hint="eastAsia" w:ascii="仿宋" w:hAnsi="仿宋" w:eastAsia="黑体"/>
          <w:sz w:val="32"/>
          <w:szCs w:val="32"/>
        </w:rPr>
        <w:t xml:space="preserve">条  </w:t>
      </w:r>
      <w:r>
        <w:rPr>
          <w:rFonts w:hint="eastAsia" w:ascii="仿宋" w:hAnsi="仿宋"/>
          <w:sz w:val="32"/>
          <w:szCs w:val="32"/>
        </w:rPr>
        <w:t>省机关事务主管部门应当建立全省机关事务管理信息化平台，实现资产、机关办公用房、公务用车、后勤服务和节能管理等信息共享。</w:t>
      </w:r>
    </w:p>
    <w:p>
      <w:pPr>
        <w:pStyle w:val="2"/>
        <w:numPr>
          <w:ilvl w:val="0"/>
          <w:numId w:val="0"/>
        </w:numPr>
        <w:rPr>
          <w:rFonts w:hint="eastAsia"/>
          <w:sz w:val="32"/>
          <w:szCs w:val="32"/>
        </w:rPr>
      </w:pPr>
    </w:p>
    <w:p>
      <w:pPr>
        <w:pageBreakBefore w:val="0"/>
        <w:numPr>
          <w:ilvl w:val="0"/>
          <w:numId w:val="0"/>
        </w:numPr>
        <w:kinsoku/>
        <w:wordWrap/>
        <w:overflowPunct/>
        <w:topLinePunct w:val="0"/>
        <w:autoSpaceDE/>
        <w:bidi w:val="0"/>
        <w:adjustRightInd/>
        <w:snapToGrid/>
        <w:spacing w:before="0" w:beforeLines="0" w:after="0" w:afterLines="0" w:line="240" w:lineRule="auto"/>
        <w:jc w:val="center"/>
        <w:outlineLvl w:val="9"/>
        <w:rPr>
          <w:rFonts w:hint="eastAsia"/>
          <w:sz w:val="32"/>
          <w:szCs w:val="32"/>
        </w:rPr>
      </w:pPr>
      <w:bookmarkStart w:id="9" w:name="_Toc29602"/>
      <w:r>
        <w:rPr>
          <w:rFonts w:hint="eastAsia" w:ascii="仿宋" w:hAnsi="仿宋" w:eastAsia="黑体"/>
          <w:sz w:val="32"/>
          <w:szCs w:val="32"/>
          <w:lang w:val="en-US" w:eastAsia="zh-CN"/>
        </w:rPr>
        <w:t>第二章  经费管理</w:t>
      </w:r>
      <w:bookmarkEnd w:id="9"/>
    </w:p>
    <w:p>
      <w:pPr>
        <w:pStyle w:val="2"/>
        <w:numPr>
          <w:ilvl w:val="0"/>
          <w:numId w:val="0"/>
        </w:numPr>
        <w:rPr>
          <w:rFonts w:hint="eastAsia"/>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第六条  </w:t>
      </w:r>
      <w:r>
        <w:rPr>
          <w:rFonts w:hint="eastAsia" w:ascii="仿宋" w:hAnsi="仿宋"/>
          <w:sz w:val="32"/>
          <w:szCs w:val="32"/>
        </w:rPr>
        <w:t>县级以上人民政府及其部门应当加强机关运行经费管理，完善经费开支标准，规范资金使用审批程序，严格内部审计，提高资金使用效益。</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第七条  </w:t>
      </w:r>
      <w:r>
        <w:rPr>
          <w:rFonts w:hint="eastAsia" w:ascii="仿宋" w:hAnsi="仿宋"/>
          <w:sz w:val="32"/>
          <w:szCs w:val="32"/>
        </w:rPr>
        <w:t>县级以上人民政府机关事务主管部门应当根据机关运行的基本需求，制定机关运行所需要的实物定额和服务标准。</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财政部门应当根据实物定额和服务标准，参考有关货物、工程和服务的市场价格，组织制定并适时调整机关运行经费预算支出定额标准和开支标准。</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第八条  </w:t>
      </w:r>
      <w:r>
        <w:rPr>
          <w:rFonts w:hint="eastAsia" w:ascii="仿宋" w:hAnsi="仿宋"/>
          <w:sz w:val="32"/>
          <w:szCs w:val="32"/>
        </w:rPr>
        <w:t>县级以上人民政府财政部门应当根据预算支出定额标准，结合本级政府各部门工作职责、性质和特点，按照总额控制、从严从紧的原则，采取定员定额方式，编制本级政府机关运行经费预算。</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 xml:space="preserve">第九条  </w:t>
      </w:r>
      <w:r>
        <w:rPr>
          <w:rFonts w:hint="eastAsia" w:ascii="仿宋" w:hAnsi="仿宋"/>
          <w:sz w:val="32"/>
          <w:szCs w:val="32"/>
        </w:rPr>
        <w:t>控制下列费用在机关运行经费预算总额中的规模和比例，并不得挪用其他预算资金用于此项支出：</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（一）公务接待费；</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（二）公务用车购置和运行费；</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sz w:val="32"/>
          <w:szCs w:val="32"/>
        </w:rPr>
        <w:t>（三）因公出国（境）费。</w:t>
      </w:r>
    </w:p>
    <w:p>
      <w:pPr>
        <w:pageBreakBefore w:val="0"/>
        <w:kinsoku/>
        <w:wordWrap/>
        <w:overflowPunct/>
        <w:topLinePunct w:val="0"/>
        <w:autoSpaceDE/>
        <w:bidi w:val="0"/>
        <w:adjustRightInd/>
        <w:snapToGrid/>
        <w:spacing w:before="0" w:beforeLines="0" w:after="0" w:afterLines="0" w:line="240" w:lineRule="auto"/>
        <w:ind w:firstLine="640" w:firstLineChars="200"/>
        <w:jc w:val="both"/>
        <w:outlineLvl w:val="9"/>
        <w:rPr>
          <w:rFonts w:hint="eastAsia"/>
          <w:sz w:val="32"/>
          <w:szCs w:val="32"/>
        </w:rPr>
      </w:pPr>
      <w:bookmarkStart w:id="10" w:name="_Toc32376"/>
    </w:p>
    <w:p>
      <w:pPr>
        <w:pageBreakBefore w:val="0"/>
        <w:numPr>
          <w:ilvl w:val="0"/>
          <w:numId w:val="0"/>
        </w:numPr>
        <w:kinsoku/>
        <w:wordWrap/>
        <w:overflowPunct/>
        <w:topLinePunct w:val="0"/>
        <w:autoSpaceDE/>
        <w:bidi w:val="0"/>
        <w:adjustRightInd/>
        <w:snapToGrid/>
        <w:spacing w:before="0" w:beforeLines="0" w:after="0" w:afterLines="0" w:line="240" w:lineRule="auto"/>
        <w:jc w:val="center"/>
        <w:outlineLvl w:val="9"/>
        <w:rPr>
          <w:rFonts w:hint="eastAsia" w:ascii="仿宋" w:hAnsi="仿宋" w:eastAsia="黑体"/>
          <w:sz w:val="32"/>
          <w:szCs w:val="32"/>
          <w:lang w:val="en-US" w:eastAsia="zh-CN"/>
        </w:rPr>
      </w:pPr>
      <w:r>
        <w:rPr>
          <w:rFonts w:hint="eastAsia" w:ascii="仿宋" w:hAnsi="仿宋" w:eastAsia="黑体"/>
          <w:sz w:val="32"/>
          <w:szCs w:val="32"/>
          <w:lang w:val="en-US" w:eastAsia="zh-CN"/>
        </w:rPr>
        <w:t>第三章　资产管理</w:t>
      </w:r>
      <w:bookmarkEnd w:id="10"/>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eastAsia="黑体"/>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第十条  </w:t>
      </w:r>
      <w:r>
        <w:rPr>
          <w:rFonts w:hint="eastAsia" w:ascii="仿宋" w:hAnsi="仿宋"/>
          <w:sz w:val="32"/>
          <w:szCs w:val="32"/>
        </w:rPr>
        <w:t>县级以上人民政府机关事务主管部门应当制定和组织实施本级政府机关资产管理的具体制度。</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政府部门负责本部门资产的使用管理和日常维护，接受同级机关事务主管部门、财政部门的指导和监督。</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第十一条  </w:t>
      </w:r>
      <w:r>
        <w:rPr>
          <w:rFonts w:hint="eastAsia" w:ascii="仿宋" w:hAnsi="仿宋"/>
          <w:sz w:val="32"/>
          <w:szCs w:val="32"/>
        </w:rPr>
        <w:t>县级以上人民政府财政部门应当分类制定本级机关资产配置标准，确定资产数量、价格、性能和最低使用年限，报本级人民政府批准后实施。</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第十二条  </w:t>
      </w:r>
      <w:r>
        <w:rPr>
          <w:rFonts w:hint="eastAsia" w:ascii="仿宋" w:hAnsi="仿宋"/>
          <w:sz w:val="32"/>
          <w:szCs w:val="32"/>
        </w:rPr>
        <w:t>县级以上人民政府部门应当建立健全资产采购、入库登记、保管清查和领用交回等机关资产使用的具体管理制度，保证资产安全完整。</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第十三条  </w:t>
      </w:r>
      <w:r>
        <w:rPr>
          <w:rFonts w:hint="eastAsia" w:ascii="仿宋" w:hAnsi="仿宋"/>
          <w:sz w:val="32"/>
          <w:szCs w:val="32"/>
        </w:rPr>
        <w:t>县级以上人民政府应当建立健全办公用房管理制度，对办公用房的规划、权属、配置和处置实行统一管理。</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第十四条  </w:t>
      </w:r>
      <w:r>
        <w:rPr>
          <w:rFonts w:hint="eastAsia" w:ascii="仿宋" w:hAnsi="仿宋"/>
          <w:sz w:val="32"/>
          <w:szCs w:val="32"/>
        </w:rPr>
        <w:t>县级以上人民政府机关事务主管部门应当会同相关部门依法对本级政府机关办公用房办理权属登记，房地产权利人应当为机关事务主管部门。涉及国家秘密、国家安全等特殊情况的，经机关事务主管部门核准，可以将办公用房权属登记在使用单位名下。</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第十五条  </w:t>
      </w:r>
      <w:r>
        <w:rPr>
          <w:rFonts w:hint="eastAsia" w:ascii="仿宋" w:hAnsi="仿宋"/>
          <w:sz w:val="32"/>
          <w:szCs w:val="32"/>
        </w:rPr>
        <w:t>新建、扩建、改建机关办公用房，应当执行国家和省有关机关办公用房建设的审批程序，禁止超规模、超标准建设办公用房。</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第十六条  </w:t>
      </w:r>
      <w:r>
        <w:rPr>
          <w:rFonts w:hint="eastAsia" w:ascii="仿宋" w:hAnsi="仿宋"/>
          <w:sz w:val="32"/>
          <w:szCs w:val="32"/>
        </w:rPr>
        <w:t>机关办公用房使用单位应当按照国家和省有关规定，在核定面积内合理使用办公用房，不得擅自改变使用功能，或者自行安排其他单位使用。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sz w:val="32"/>
          <w:szCs w:val="32"/>
        </w:rPr>
        <w:t>有下列情形之一的，相关办公用房由机关事务主管部门统一调剂使用：</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（一）超过核定面积；</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（二）闲置；</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（三）因新建、调整和机关撤并等原因腾退。</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第十七条  </w:t>
      </w:r>
      <w:r>
        <w:rPr>
          <w:rFonts w:hint="eastAsia" w:ascii="仿宋" w:hAnsi="仿宋"/>
          <w:sz w:val="32"/>
          <w:szCs w:val="32"/>
        </w:rPr>
        <w:t>县级以上人民政府部门应当定期检查本单位使用的办公用房安全、使用状况，负责办公用房的日常小型维修，所需资金列入部门预算。对存在安全隐患、使用功能不全等原因确需大中型维修的，机关事务主管部门根据使用单位的申请，统筹大中型维修项目，报财政部门审核安排预算。</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第十八条  </w:t>
      </w:r>
      <w:r>
        <w:rPr>
          <w:rFonts w:hint="eastAsia" w:ascii="仿宋" w:hAnsi="仿宋"/>
          <w:sz w:val="32"/>
          <w:szCs w:val="32"/>
        </w:rPr>
        <w:t>县级以上人民政府应当建立健全机关公务用车管理制度，对机关公务用车编制、标准、购置经费和采购配备实行统一管理。</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机关事务主管部门和财政部门应当根据职责核定公务用车编制。</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第十九条  </w:t>
      </w:r>
      <w:r>
        <w:rPr>
          <w:rFonts w:hint="eastAsia" w:ascii="仿宋" w:hAnsi="仿宋"/>
          <w:sz w:val="32"/>
          <w:szCs w:val="32"/>
        </w:rPr>
        <w:t>县级以上人民政府机关事务主管部门应当根据公务用车配备更新标准和现状，编制年度公务用车配备更新计划。</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财政部门应当根据年度公务用车配备更新计划，按照预算管理有关规定安排购置经费，购置经费使用按照国家有关规定执行。</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 xml:space="preserve">第二十条  </w:t>
      </w:r>
      <w:r>
        <w:rPr>
          <w:rFonts w:hint="eastAsia" w:ascii="仿宋" w:hAnsi="仿宋"/>
          <w:sz w:val="32"/>
          <w:szCs w:val="32"/>
        </w:rPr>
        <w:t>县级以上人民政府部门应当建立公务用车使用登记、指定停放、封存停驶、公务标识等管理制度，实行公务用车定点保险、定点维修、定点加油和运行费用单车核算。</w:t>
      </w:r>
    </w:p>
    <w:p>
      <w:pPr>
        <w:pageBreakBefore w:val="0"/>
        <w:kinsoku/>
        <w:wordWrap/>
        <w:overflowPunct/>
        <w:topLinePunct w:val="0"/>
        <w:autoSpaceDE/>
        <w:bidi w:val="0"/>
        <w:adjustRightInd/>
        <w:snapToGrid/>
        <w:spacing w:before="0" w:beforeLines="0" w:after="0" w:afterLines="0" w:line="240" w:lineRule="auto"/>
        <w:ind w:firstLine="640" w:firstLineChars="200"/>
        <w:jc w:val="both"/>
        <w:outlineLvl w:val="9"/>
        <w:rPr>
          <w:rFonts w:hint="eastAsia"/>
          <w:sz w:val="32"/>
          <w:szCs w:val="32"/>
        </w:rPr>
      </w:pPr>
      <w:bookmarkStart w:id="11" w:name="_Toc23270"/>
    </w:p>
    <w:p>
      <w:pPr>
        <w:pageBreakBefore w:val="0"/>
        <w:numPr>
          <w:ilvl w:val="0"/>
          <w:numId w:val="0"/>
        </w:numPr>
        <w:kinsoku/>
        <w:wordWrap/>
        <w:overflowPunct/>
        <w:topLinePunct w:val="0"/>
        <w:autoSpaceDE/>
        <w:bidi w:val="0"/>
        <w:adjustRightInd/>
        <w:snapToGrid/>
        <w:spacing w:before="0" w:beforeLines="0" w:after="0" w:afterLines="0" w:line="240" w:lineRule="auto"/>
        <w:jc w:val="center"/>
        <w:outlineLvl w:val="9"/>
        <w:rPr>
          <w:rFonts w:hint="eastAsia" w:ascii="仿宋" w:hAnsi="仿宋" w:eastAsia="黑体"/>
          <w:sz w:val="32"/>
          <w:szCs w:val="32"/>
          <w:lang w:val="en-US" w:eastAsia="zh-CN"/>
        </w:rPr>
      </w:pPr>
      <w:r>
        <w:rPr>
          <w:rFonts w:hint="eastAsia" w:ascii="仿宋" w:hAnsi="仿宋" w:eastAsia="黑体"/>
          <w:sz w:val="32"/>
          <w:szCs w:val="32"/>
          <w:lang w:val="en-US" w:eastAsia="zh-CN"/>
        </w:rPr>
        <w:t>第四章　服务管理</w:t>
      </w:r>
      <w:bookmarkEnd w:id="11"/>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eastAsia="黑体"/>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第二十一条  </w:t>
      </w:r>
      <w:r>
        <w:rPr>
          <w:rFonts w:hint="eastAsia" w:ascii="仿宋" w:hAnsi="仿宋"/>
          <w:sz w:val="32"/>
          <w:szCs w:val="32"/>
        </w:rPr>
        <w:t>县级以上人民政府机关事务主管部门应当制定机关后勤服务管理制度，确定机关后勤服务项目和标准。</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机关事务主管部门统一管理集中办公区域的后勤服务，合理建设和配置后勤服务设施，共享共用后勤服务资源，政府部门不得重复建设和配置。</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第二十二条  </w:t>
      </w:r>
      <w:r>
        <w:rPr>
          <w:rFonts w:hint="eastAsia" w:ascii="仿宋" w:hAnsi="仿宋"/>
          <w:sz w:val="32"/>
          <w:szCs w:val="32"/>
        </w:rPr>
        <w:t>县级以上人民政府应当按照机关事务管理职能与后勤服务分开的原则，分类推进机关后勤服务社会化改革。适合由社会力量承担的后勤服务，应当通过政府购买服务提供。承接机关后勤服务的社会服务机构，应当具备相应资质。</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第二十三条  </w:t>
      </w:r>
      <w:r>
        <w:rPr>
          <w:rFonts w:hint="eastAsia" w:ascii="仿宋" w:hAnsi="仿宋"/>
          <w:sz w:val="32"/>
          <w:szCs w:val="32"/>
        </w:rPr>
        <w:t>县级以上人民政府机关事务主管部门应当会同有关部门制定机关事务服务合同示范文本。政府部门与社会服务机构签订服务合同的，应当使用合同示范文本。</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第二十四条  </w:t>
      </w:r>
      <w:r>
        <w:rPr>
          <w:rFonts w:hint="eastAsia" w:ascii="仿宋" w:hAnsi="仿宋"/>
          <w:sz w:val="32"/>
          <w:szCs w:val="32"/>
        </w:rPr>
        <w:t>县级以上人民政府机关事务主管部门应当建立健全机关物业、食堂餐饮、会议服务等后勤服务考核评价体系，并将考核评价结果作为选择社会服务机构的重要依据。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 xml:space="preserve">第二十五条  </w:t>
      </w:r>
      <w:r>
        <w:rPr>
          <w:rFonts w:hint="eastAsia" w:ascii="仿宋" w:hAnsi="仿宋"/>
          <w:sz w:val="32"/>
          <w:szCs w:val="32"/>
        </w:rPr>
        <w:t>县级以上人民政府及其部门应当按照简化礼仪、务实节俭的原则，确定公务接待的范围和标准，控制会议数量、规模、会期和因公出国（境）团组、人员数量及在国（境）外停留时间，不得超范围和标准接待，或者安排无实质性内容的会议和与本部门业务工作无关的国（境）外培训。</w:t>
      </w:r>
    </w:p>
    <w:p>
      <w:pPr>
        <w:pageBreakBefore w:val="0"/>
        <w:kinsoku/>
        <w:wordWrap/>
        <w:overflowPunct/>
        <w:topLinePunct w:val="0"/>
        <w:autoSpaceDE/>
        <w:bidi w:val="0"/>
        <w:adjustRightInd/>
        <w:snapToGrid/>
        <w:spacing w:before="0" w:beforeLines="0" w:after="0" w:afterLines="0" w:line="240" w:lineRule="auto"/>
        <w:ind w:firstLine="640" w:firstLineChars="200"/>
        <w:jc w:val="both"/>
        <w:outlineLvl w:val="9"/>
        <w:rPr>
          <w:rFonts w:hint="eastAsia"/>
          <w:sz w:val="32"/>
          <w:szCs w:val="32"/>
        </w:rPr>
      </w:pPr>
      <w:bookmarkStart w:id="12" w:name="_Toc11133"/>
    </w:p>
    <w:p>
      <w:pPr>
        <w:pageBreakBefore w:val="0"/>
        <w:numPr>
          <w:ilvl w:val="0"/>
          <w:numId w:val="0"/>
        </w:numPr>
        <w:kinsoku/>
        <w:wordWrap/>
        <w:overflowPunct/>
        <w:topLinePunct w:val="0"/>
        <w:autoSpaceDE/>
        <w:bidi w:val="0"/>
        <w:adjustRightInd/>
        <w:snapToGrid/>
        <w:spacing w:before="0" w:beforeLines="0" w:after="0" w:afterLines="0" w:line="240" w:lineRule="auto"/>
        <w:jc w:val="center"/>
        <w:outlineLvl w:val="9"/>
        <w:rPr>
          <w:rFonts w:hint="eastAsia" w:ascii="仿宋" w:hAnsi="仿宋" w:eastAsia="黑体"/>
          <w:sz w:val="32"/>
          <w:szCs w:val="32"/>
          <w:lang w:val="en-US" w:eastAsia="zh-CN"/>
        </w:rPr>
      </w:pPr>
      <w:r>
        <w:rPr>
          <w:rFonts w:hint="eastAsia" w:ascii="仿宋" w:hAnsi="仿宋" w:eastAsia="黑体"/>
          <w:sz w:val="32"/>
          <w:szCs w:val="32"/>
          <w:lang w:val="en-US" w:eastAsia="zh-CN"/>
        </w:rPr>
        <w:t>第五章　监督检查</w:t>
      </w:r>
      <w:bookmarkEnd w:id="12"/>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eastAsia="黑体"/>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第二十六条  </w:t>
      </w:r>
      <w:r>
        <w:rPr>
          <w:rFonts w:hint="eastAsia" w:ascii="仿宋" w:hAnsi="仿宋"/>
          <w:sz w:val="32"/>
          <w:szCs w:val="32"/>
        </w:rPr>
        <w:t>县级以上人民政府机关事务主管部门和财政、发展改革、审计等部门应当按照职责分工，加强对机关运行经费、资产、服务和节能管理等机关事务管理工作的监督检查。</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第二十七条  </w:t>
      </w:r>
      <w:r>
        <w:rPr>
          <w:rFonts w:hint="eastAsia" w:ascii="仿宋" w:hAnsi="仿宋"/>
          <w:sz w:val="32"/>
          <w:szCs w:val="32"/>
        </w:rPr>
        <w:t>县级以上人民政府机关事务主管部门发现违法违规风险或者管理漏洞的，应当责令被检查部门限期整改，并跟踪督查。对拒不整改的，应当及时报告本级人民政府。</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第二十八条  </w:t>
      </w:r>
      <w:r>
        <w:rPr>
          <w:rFonts w:hint="eastAsia" w:ascii="仿宋" w:hAnsi="仿宋"/>
          <w:sz w:val="32"/>
          <w:szCs w:val="32"/>
        </w:rPr>
        <w:t>县级以上人民政府机关事务主管部门应当建立举报投诉制度，并依法处理。</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第二十九条  </w:t>
      </w:r>
      <w:r>
        <w:rPr>
          <w:rFonts w:hint="eastAsia" w:ascii="仿宋" w:hAnsi="仿宋"/>
          <w:sz w:val="32"/>
          <w:szCs w:val="32"/>
        </w:rPr>
        <w:t>县级以上人民政府应当定期公布公务接待费、公务用车购置和运行费、因公出国（境）费等机关运行经费的预算和决算情况，接受社会监督。</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 xml:space="preserve">第三十条  </w:t>
      </w:r>
      <w:r>
        <w:rPr>
          <w:rFonts w:hint="eastAsia" w:ascii="仿宋" w:hAnsi="仿宋"/>
          <w:sz w:val="32"/>
          <w:szCs w:val="32"/>
        </w:rPr>
        <w:t>县级以上人民政府机关事务主管部门应当开展机关运行成本统计、分析、评价，并将统计分析报告报送本级人民政府和上一级机关事务主管部门。</w:t>
      </w:r>
    </w:p>
    <w:p>
      <w:pPr>
        <w:pageBreakBefore w:val="0"/>
        <w:kinsoku/>
        <w:wordWrap/>
        <w:overflowPunct/>
        <w:topLinePunct w:val="0"/>
        <w:autoSpaceDE/>
        <w:bidi w:val="0"/>
        <w:adjustRightInd/>
        <w:snapToGrid/>
        <w:spacing w:before="0" w:beforeLines="0" w:after="0" w:afterLines="0" w:line="240" w:lineRule="auto"/>
        <w:ind w:firstLine="640" w:firstLineChars="200"/>
        <w:jc w:val="both"/>
        <w:outlineLvl w:val="9"/>
        <w:rPr>
          <w:rFonts w:hint="eastAsia"/>
          <w:sz w:val="32"/>
          <w:szCs w:val="32"/>
        </w:rPr>
      </w:pPr>
      <w:bookmarkStart w:id="13" w:name="_Toc12803"/>
      <w:r>
        <w:rPr>
          <w:rFonts w:hint="eastAsia"/>
          <w:sz w:val="32"/>
          <w:szCs w:val="32"/>
        </w:rPr>
        <w:t>第六章　法律责任</w:t>
      </w:r>
      <w:bookmarkEnd w:id="13"/>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 xml:space="preserve">第三十一条  </w:t>
      </w:r>
      <w:r>
        <w:rPr>
          <w:rFonts w:hint="eastAsia" w:ascii="仿宋" w:hAnsi="仿宋"/>
          <w:sz w:val="32"/>
          <w:szCs w:val="32"/>
        </w:rPr>
        <w:t>违反本办法规定，有下列情形之一的，由同级机关事务主管部门或者上级机关责令改正；依法应当追究责任的，由任免机关或者监察机关按照有关规定对责任人员给予相应的处分；涉嫌构成犯罪的，依法追究刑事责任：</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（一）违反规定配置、使用、处置机关资产的；</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（二）违反规定建设、维修办公用房的；</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（三）超标准占有使用办公用房，或者拒交应腾退办公用房的；</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sz w:val="32"/>
          <w:szCs w:val="32"/>
        </w:rPr>
        <w:t>（四）违反规定配备使用公务用车的。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仿宋" w:hAnsi="仿宋"/>
          <w:sz w:val="32"/>
          <w:szCs w:val="32"/>
        </w:rPr>
      </w:pPr>
      <w:r>
        <w:rPr>
          <w:rFonts w:hint="eastAsia" w:ascii="仿宋" w:hAnsi="仿宋" w:eastAsia="黑体"/>
          <w:sz w:val="32"/>
          <w:szCs w:val="32"/>
        </w:rPr>
        <w:t xml:space="preserve">第三十二条  </w:t>
      </w:r>
      <w:r>
        <w:rPr>
          <w:rFonts w:hint="eastAsia" w:ascii="仿宋" w:hAnsi="仿宋"/>
          <w:sz w:val="32"/>
          <w:szCs w:val="32"/>
        </w:rPr>
        <w:t>违反本办法规定的其他行为，有关法律、法规、规章已有规定的，依照其规定。</w:t>
      </w:r>
    </w:p>
    <w:p>
      <w:pPr>
        <w:pStyle w:val="2"/>
        <w:rPr>
          <w:rFonts w:hint="eastAsia"/>
          <w:sz w:val="32"/>
          <w:szCs w:val="32"/>
        </w:rPr>
      </w:pPr>
    </w:p>
    <w:p>
      <w:pPr>
        <w:pageBreakBefore w:val="0"/>
        <w:numPr>
          <w:ilvl w:val="0"/>
          <w:numId w:val="1"/>
        </w:numPr>
        <w:kinsoku/>
        <w:wordWrap/>
        <w:overflowPunct/>
        <w:topLinePunct w:val="0"/>
        <w:autoSpaceDE/>
        <w:bidi w:val="0"/>
        <w:adjustRightInd/>
        <w:snapToGrid/>
        <w:spacing w:before="0" w:beforeLines="0" w:after="0" w:afterLines="0" w:line="240" w:lineRule="auto"/>
        <w:ind w:firstLine="640" w:firstLineChars="200"/>
        <w:jc w:val="center"/>
        <w:outlineLvl w:val="9"/>
        <w:rPr>
          <w:rFonts w:hint="eastAsia" w:ascii="仿宋" w:hAnsi="仿宋" w:eastAsia="黑体"/>
          <w:sz w:val="32"/>
          <w:szCs w:val="32"/>
          <w:lang w:val="en-US" w:eastAsia="zh-CN"/>
        </w:rPr>
      </w:pPr>
      <w:bookmarkStart w:id="14" w:name="_Toc30658"/>
      <w:r>
        <w:rPr>
          <w:rFonts w:hint="eastAsia" w:ascii="仿宋" w:hAnsi="仿宋" w:eastAsia="黑体"/>
          <w:sz w:val="32"/>
          <w:szCs w:val="32"/>
          <w:lang w:val="en-US" w:eastAsia="zh-CN"/>
        </w:rPr>
        <w:t>附  则</w:t>
      </w:r>
      <w:bookmarkEnd w:id="14"/>
    </w:p>
    <w:p>
      <w:pPr>
        <w:pStyle w:val="2"/>
        <w:numPr>
          <w:numId w:val="0"/>
        </w:numPr>
        <w:rPr>
          <w:rFonts w:hint="eastAsia"/>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 xml:space="preserve">第三十三条  </w:t>
      </w:r>
      <w:r>
        <w:rPr>
          <w:rFonts w:hint="eastAsia" w:ascii="仿宋" w:hAnsi="仿宋"/>
          <w:sz w:val="32"/>
          <w:szCs w:val="32"/>
        </w:rPr>
        <w:t>县级以上人民政府及其部门的节能管理，按照有关法律、法规、规章的规定执行。</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r>
        <w:rPr>
          <w:rFonts w:hint="eastAsia" w:ascii="仿宋" w:hAnsi="仿宋" w:eastAsia="黑体"/>
          <w:sz w:val="32"/>
          <w:szCs w:val="32"/>
        </w:rPr>
        <w:t>第三十四条</w:t>
      </w:r>
      <w:r>
        <w:rPr>
          <w:rFonts w:hint="eastAsia" w:ascii="仿宋" w:hAnsi="仿宋"/>
          <w:sz w:val="32"/>
          <w:szCs w:val="32"/>
        </w:rPr>
        <w:t xml:space="preserve">  运行经费由我省各级财政予以保障的其他机关和单位的机关事务管理活动，参照本办法执行。</w:t>
      </w:r>
    </w:p>
    <w:p>
      <w:pPr>
        <w:pageBreakBefore w:val="0"/>
        <w:kinsoku/>
        <w:wordWrap/>
        <w:overflowPunct/>
        <w:topLinePunct w:val="0"/>
        <w:autoSpaceDE/>
        <w:bidi w:val="0"/>
        <w:adjustRightInd/>
        <w:snapToGrid/>
        <w:spacing w:line="240" w:lineRule="auto"/>
        <w:ind w:firstLine="640" w:firstLineChars="200"/>
        <w:jc w:val="both"/>
        <w:outlineLvl w:val="9"/>
        <w:rPr>
          <w:rFonts w:ascii="仿宋" w:hAnsi="仿宋"/>
          <w:sz w:val="32"/>
          <w:szCs w:val="32"/>
        </w:rPr>
      </w:pPr>
      <w:bookmarkStart w:id="15" w:name="_GoBack"/>
      <w:r>
        <w:rPr>
          <w:rFonts w:hint="eastAsia" w:ascii="仿宋" w:hAnsi="仿宋" w:eastAsia="黑体"/>
          <w:sz w:val="32"/>
          <w:szCs w:val="32"/>
        </w:rPr>
        <w:t>第三十五条</w:t>
      </w:r>
      <w:bookmarkEnd w:id="15"/>
      <w:r>
        <w:rPr>
          <w:rFonts w:hint="eastAsia" w:ascii="仿宋" w:hAnsi="仿宋"/>
          <w:sz w:val="32"/>
          <w:szCs w:val="32"/>
        </w:rPr>
        <w:t xml:space="preserve">  本办法自</w:t>
      </w:r>
      <w:r>
        <w:rPr>
          <w:rFonts w:hint="eastAsia" w:ascii="Times New Roman" w:hAnsi="Times New Roman"/>
          <w:sz w:val="32"/>
          <w:szCs w:val="32"/>
        </w:rPr>
        <w:t>2019</w:t>
      </w:r>
      <w:r>
        <w:rPr>
          <w:rFonts w:ascii="仿宋" w:hAnsi="仿宋"/>
          <w:sz w:val="32"/>
          <w:szCs w:val="32"/>
        </w:rPr>
        <w:t>年</w:t>
      </w:r>
      <w:r>
        <w:rPr>
          <w:rFonts w:hint="eastAsia" w:ascii="Times New Roman" w:hAnsi="Times New Roman"/>
          <w:sz w:val="32"/>
          <w:szCs w:val="32"/>
        </w:rPr>
        <w:t>4</w:t>
      </w:r>
      <w:r>
        <w:rPr>
          <w:rFonts w:ascii="仿宋" w:hAnsi="仿宋"/>
          <w:sz w:val="32"/>
          <w:szCs w:val="32"/>
        </w:rPr>
        <w:t>月</w:t>
      </w:r>
      <w:r>
        <w:rPr>
          <w:rFonts w:hint="eastAsia" w:ascii="Times New Roman" w:hAnsi="Times New Roman"/>
          <w:sz w:val="32"/>
          <w:szCs w:val="32"/>
        </w:rPr>
        <w:t>16</w:t>
      </w:r>
      <w:r>
        <w:rPr>
          <w:rFonts w:ascii="仿宋" w:hAnsi="仿宋"/>
          <w:sz w:val="32"/>
          <w:szCs w:val="32"/>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5"/>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7454"/>
    <w:multiLevelType w:val="singleLevel"/>
    <w:tmpl w:val="012A7454"/>
    <w:lvl w:ilvl="0" w:tentative="0">
      <w:start w:val="7"/>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0EF320A"/>
    <w:rsid w:val="152D2DCA"/>
    <w:rsid w:val="1DEC284C"/>
    <w:rsid w:val="1E6523AC"/>
    <w:rsid w:val="22440422"/>
    <w:rsid w:val="2E645478"/>
    <w:rsid w:val="3032196C"/>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96E6365"/>
    <w:rsid w:val="59B271D0"/>
    <w:rsid w:val="5A5F47C3"/>
    <w:rsid w:val="5BB945C8"/>
    <w:rsid w:val="5DC34279"/>
    <w:rsid w:val="608816D1"/>
    <w:rsid w:val="60EF4E7F"/>
    <w:rsid w:val="665233C1"/>
    <w:rsid w:val="6AD9688B"/>
    <w:rsid w:val="6D0E3F22"/>
    <w:rsid w:val="6DFC21B2"/>
    <w:rsid w:val="73E8650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2021-12-23T02:08:22Z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F240E3B7C710477B8460EAD61C3F2B87</vt:lpwstr>
  </property>
</Properties>
</file>