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宋体" w:hAnsi="宋体" w:eastAsia="宋体" w:cs="宋体"/>
          <w:sz w:val="44"/>
          <w:szCs w:val="44"/>
        </w:rPr>
      </w:pPr>
      <w:bookmarkStart w:id="0" w:name="_Toc19047"/>
    </w:p>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宋体" w:hAnsi="宋体" w:eastAsia="宋体" w:cs="宋体"/>
          <w:sz w:val="44"/>
          <w:szCs w:val="44"/>
        </w:rPr>
      </w:pPr>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r>
        <w:rPr>
          <w:rFonts w:hint="eastAsia" w:ascii="宋体" w:hAnsi="宋体" w:eastAsia="宋体" w:cs="宋体"/>
          <w:sz w:val="44"/>
          <w:szCs w:val="44"/>
        </w:rPr>
        <w:t>辽宁省治安特业服务管理办法</w:t>
      </w:r>
      <w:bookmarkEnd w:id="0"/>
    </w:p>
    <w:p>
      <w:pPr>
        <w:pageBreakBefore w:val="0"/>
        <w:kinsoku/>
        <w:wordWrap/>
        <w:overflowPunct/>
        <w:topLinePunct w:val="0"/>
        <w:autoSpaceDE/>
        <w:bidi w:val="0"/>
        <w:adjustRightInd/>
        <w:snapToGrid/>
        <w:spacing w:beforeLines="0" w:afterLines="0" w:line="240" w:lineRule="auto"/>
        <w:ind w:firstLine="640" w:firstLineChars="200"/>
        <w:jc w:val="both"/>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（2019年11月25日辽宁省人民政府令第329号公布 自2020年1月1日起施行）</w:t>
      </w:r>
    </w:p>
    <w:p>
      <w:pPr>
        <w:pageBreakBefore w:val="0"/>
        <w:numPr>
          <w:ilvl w:val="0"/>
          <w:numId w:val="0"/>
        </w:numPr>
        <w:kinsoku/>
        <w:wordWrap/>
        <w:overflowPunct/>
        <w:topLinePunct w:val="0"/>
        <w:autoSpaceDE/>
        <w:bidi w:val="0"/>
        <w:adjustRightInd/>
        <w:snapToGrid/>
        <w:spacing w:before="0" w:beforeLines="0" w:after="0" w:afterLines="0" w:line="240" w:lineRule="auto"/>
        <w:jc w:val="both"/>
        <w:outlineLvl w:val="9"/>
        <w:rPr>
          <w:rFonts w:hint="eastAsia" w:ascii="宋体" w:hAnsi="宋体" w:eastAsia="黑体" w:cs="宋体"/>
          <w:bCs/>
          <w:kern w:val="0"/>
          <w:sz w:val="32"/>
          <w:szCs w:val="32"/>
          <w:shd w:val="clear" w:color="auto" w:fill="FFFFFF"/>
          <w:lang w:val="en-US" w:eastAsia="zh-CN" w:bidi="ar-SA"/>
        </w:rPr>
      </w:pPr>
      <w:bookmarkStart w:id="1" w:name="_Toc19116"/>
    </w:p>
    <w:bookmarkEnd w:id="1"/>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center"/>
        <w:outlineLvl w:val="9"/>
        <w:rPr>
          <w:rFonts w:hint="default" w:ascii="宋体" w:hAnsi="宋体" w:eastAsia="黑体" w:cs="宋体"/>
          <w:bCs/>
          <w:sz w:val="32"/>
          <w:szCs w:val="32"/>
          <w:shd w:val="clear" w:color="auto" w:fill="FFFFFF"/>
          <w:lang w:val="en-US" w:eastAsia="zh-CN"/>
        </w:rPr>
      </w:pPr>
      <w:r>
        <w:rPr>
          <w:rFonts w:hint="eastAsia" w:ascii="宋体" w:hAnsi="宋体" w:eastAsia="黑体" w:cs="宋体"/>
          <w:bCs/>
          <w:sz w:val="32"/>
          <w:szCs w:val="32"/>
          <w:shd w:val="clear" w:color="auto" w:fill="FFFFFF"/>
        </w:rPr>
        <w:t>第</w:t>
      </w:r>
      <w:r>
        <w:rPr>
          <w:rFonts w:hint="eastAsia" w:ascii="宋体" w:hAnsi="宋体" w:eastAsia="黑体" w:cs="宋体"/>
          <w:bCs/>
          <w:sz w:val="32"/>
          <w:szCs w:val="32"/>
          <w:shd w:val="clear" w:color="auto" w:fill="FFFFFF"/>
          <w:lang w:val="en-US" w:eastAsia="zh-CN"/>
        </w:rPr>
        <w:t>一</w:t>
      </w:r>
      <w:r>
        <w:rPr>
          <w:rFonts w:hint="eastAsia" w:ascii="宋体" w:hAnsi="宋体" w:eastAsia="黑体" w:cs="宋体"/>
          <w:bCs/>
          <w:sz w:val="32"/>
          <w:szCs w:val="32"/>
          <w:shd w:val="clear" w:color="auto" w:fill="FFFFFF"/>
        </w:rPr>
        <w:t>章　</w:t>
      </w:r>
      <w:r>
        <w:rPr>
          <w:rFonts w:hint="eastAsia" w:ascii="宋体" w:hAnsi="宋体" w:eastAsia="黑体" w:cs="宋体"/>
          <w:bCs/>
          <w:sz w:val="32"/>
          <w:szCs w:val="32"/>
          <w:shd w:val="clear" w:color="auto" w:fill="FFFFFF"/>
          <w:lang w:val="en-US" w:eastAsia="zh-CN"/>
        </w:rPr>
        <w:t>总　则</w:t>
      </w:r>
    </w:p>
    <w:p>
      <w:pPr>
        <w:pStyle w:val="2"/>
        <w:numPr>
          <w:ilvl w:val="0"/>
          <w:numId w:val="0"/>
        </w:numPr>
        <w:rPr>
          <w:rFonts w:hint="eastAsia"/>
          <w:sz w:val="32"/>
          <w:szCs w:val="32"/>
          <w:lang w:val="en-US" w:eastAsia="zh-CN"/>
        </w:r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第一条  </w:t>
      </w:r>
      <w:r>
        <w:rPr>
          <w:rFonts w:hint="eastAsia" w:ascii="宋体" w:hAnsi="宋体" w:cs="宋体"/>
          <w:sz w:val="32"/>
          <w:szCs w:val="32"/>
          <w:shd w:val="clear" w:color="auto" w:fill="FFFFFF"/>
        </w:rPr>
        <w:t>为了加强治安特业的服务和管理，保障公民、法人和其他组织的合法权益，根据《中华人民共和国治安管理处罚法》等法律、法规，结合我省实际，制定本办法。</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第二条  </w:t>
      </w:r>
      <w:r>
        <w:rPr>
          <w:rFonts w:hint="eastAsia" w:ascii="宋体" w:hAnsi="宋体" w:cs="宋体"/>
          <w:sz w:val="32"/>
          <w:szCs w:val="32"/>
          <w:shd w:val="clear" w:color="auto" w:fill="FFFFFF"/>
        </w:rPr>
        <w:t>我省行政区域内治安特业服务管理，适用本办法。</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第三条  </w:t>
      </w:r>
      <w:r>
        <w:rPr>
          <w:rFonts w:hint="eastAsia" w:ascii="宋体" w:hAnsi="宋体" w:cs="宋体"/>
          <w:sz w:val="32"/>
          <w:szCs w:val="32"/>
          <w:shd w:val="clear" w:color="auto" w:fill="FFFFFF"/>
        </w:rPr>
        <w:t>本办法所称治安特业包括：</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（一）旅馆业；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（二）公章刻制业；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（三）典当业；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（四）开锁业；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（五）生产性废旧金属收购业；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（六）机动车维修业；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（七）提供按摩服务的洗浴、足浴等服务业（以下简称按摩服务业）；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（八）法律、法规规定的其他治安特业。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第四条  </w:t>
      </w:r>
      <w:r>
        <w:rPr>
          <w:rFonts w:hint="eastAsia" w:ascii="宋体" w:hAnsi="宋体" w:cs="宋体"/>
          <w:sz w:val="32"/>
          <w:szCs w:val="32"/>
          <w:shd w:val="clear" w:color="auto" w:fill="FFFFFF"/>
        </w:rPr>
        <w:t>省、市、县（含县级市、区，下同）人民政府公安机关负责本行政区域内的治安特业服务管理工作。</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市场监管、商务、地方金融监管、交通运输、应急管理、卫生健康、生态环境、住房城乡建设、文化和旅游、人力资源社会保障等部门按照各自职责，做好治安特业服务管理的相关工作。</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第五条  </w:t>
      </w:r>
      <w:r>
        <w:rPr>
          <w:rFonts w:hint="eastAsia" w:ascii="宋体" w:hAnsi="宋体" w:cs="宋体"/>
          <w:sz w:val="32"/>
          <w:szCs w:val="32"/>
          <w:shd w:val="clear" w:color="auto" w:fill="FFFFFF"/>
        </w:rPr>
        <w:t>公安机关应当加强治安特业信息化建设，将其纳入治安管理综合信息平台，按照规定与有关部门相互提供信息，实现信息共享。</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第六条  </w:t>
      </w:r>
      <w:r>
        <w:rPr>
          <w:rFonts w:hint="eastAsia" w:ascii="宋体" w:hAnsi="宋体" w:cs="宋体"/>
          <w:sz w:val="32"/>
          <w:szCs w:val="32"/>
          <w:shd w:val="clear" w:color="auto" w:fill="FFFFFF"/>
        </w:rPr>
        <w:t>鼓励各类治安特业建立行业协会，加强行业自律管理，指导和督促经营者及其从业人员依法履行治安防范义务。</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第七条  </w:t>
      </w:r>
      <w:r>
        <w:rPr>
          <w:rFonts w:hint="eastAsia" w:ascii="宋体" w:hAnsi="宋体" w:cs="宋体"/>
          <w:sz w:val="32"/>
          <w:szCs w:val="32"/>
          <w:shd w:val="clear" w:color="auto" w:fill="FFFFFF"/>
        </w:rPr>
        <w:t>任何单位和个人发现违反治安特业服务管理规定的行为，有权向公安机关举报，公安机关接到举报后应当及时处理。</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center"/>
        <w:outlineLvl w:val="9"/>
        <w:rPr>
          <w:rFonts w:hint="eastAsia" w:ascii="宋体" w:hAnsi="宋体" w:eastAsia="黑体" w:cs="宋体"/>
          <w:bCs/>
          <w:sz w:val="32"/>
          <w:szCs w:val="32"/>
          <w:shd w:val="clear" w:color="auto" w:fill="FFFFFF"/>
        </w:rPr>
      </w:pPr>
      <w:bookmarkStart w:id="2" w:name="_Toc20686"/>
      <w:r>
        <w:rPr>
          <w:rFonts w:hint="eastAsia" w:ascii="宋体" w:hAnsi="宋体" w:eastAsia="黑体" w:cs="宋体"/>
          <w:bCs/>
          <w:sz w:val="32"/>
          <w:szCs w:val="32"/>
          <w:shd w:val="clear" w:color="auto" w:fill="FFFFFF"/>
        </w:rPr>
        <w:t>第二章　审批服务</w:t>
      </w:r>
      <w:bookmarkEnd w:id="2"/>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eastAsia="黑体" w:cs="宋体"/>
          <w:bCs/>
          <w:sz w:val="32"/>
          <w:szCs w:val="32"/>
          <w:shd w:val="clear" w:color="auto" w:fill="FFFFFF"/>
        </w:r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第八条  </w:t>
      </w:r>
      <w:r>
        <w:rPr>
          <w:rFonts w:hint="eastAsia" w:ascii="宋体" w:hAnsi="宋体" w:cs="宋体"/>
          <w:sz w:val="32"/>
          <w:szCs w:val="32"/>
          <w:shd w:val="clear" w:color="auto" w:fill="FFFFFF"/>
        </w:rPr>
        <w:t>从事旅馆业、公章刻制业经营的，应当按照国家规定取得《特种行业许可证》。从事典当业经营的，按照国家和国务院公安部门有关规定执行。</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申办《特种行业许可证》，应当向经营场所所在地的县公安机关提出书面申请，并提交下列材料：</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（一）经营场所的所有权或者使用权材料；</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（二）营业执照及其复印件；</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（三）法定代表人或者负责人的身份证件及其复印件；</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（四）经营场所内部结构平面示意图；</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（五）依法应当提交的其他材料。</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第九条  </w:t>
      </w:r>
      <w:r>
        <w:rPr>
          <w:rFonts w:hint="eastAsia" w:ascii="宋体" w:hAnsi="宋体" w:cs="宋体"/>
          <w:sz w:val="32"/>
          <w:szCs w:val="32"/>
          <w:shd w:val="clear" w:color="auto" w:fill="FFFFFF"/>
        </w:rPr>
        <w:t>申办《特种行业许可证》实行告知承诺制。公安机关收到经申请人签章的告知承诺书以及告知承诺书约定的材料后，能够当场作出行政许可决定的，应当当场作出行政许可决定，并即时颁发《特种行业许可证》。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申请人不选择告知承诺方式的，应当按照法律、法规和规章的有关规定，办理行政许可。</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第十条  </w:t>
      </w:r>
      <w:r>
        <w:rPr>
          <w:rFonts w:hint="eastAsia" w:ascii="宋体" w:hAnsi="宋体" w:cs="宋体"/>
          <w:sz w:val="32"/>
          <w:szCs w:val="32"/>
          <w:shd w:val="clear" w:color="auto" w:fill="FFFFFF"/>
        </w:rPr>
        <w:t>作出准予行政许可决定后，申请人在告知承诺书约定的期限内未提交材料或者提交的材料不符合要求的，公安机关应当依法撤销行政许可决定。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公安机关应当在作出准予行政许可决定后</w:t>
      </w:r>
      <w:r>
        <w:rPr>
          <w:rFonts w:hint="eastAsia" w:ascii="Times New Roman" w:hAnsi="Times New Roman" w:cs="宋体"/>
          <w:sz w:val="32"/>
          <w:szCs w:val="32"/>
          <w:shd w:val="clear" w:color="auto" w:fill="FFFFFF"/>
        </w:rPr>
        <w:t>15</w:t>
      </w:r>
      <w:r>
        <w:rPr>
          <w:rFonts w:hint="eastAsia" w:ascii="宋体" w:hAnsi="宋体" w:cs="宋体"/>
          <w:sz w:val="32"/>
          <w:szCs w:val="32"/>
          <w:shd w:val="clear" w:color="auto" w:fill="FFFFFF"/>
        </w:rPr>
        <w:t>日内，对申请人的承诺内容是否属实进行核查。发现申请人实际情况与承诺内容不符的，应当要求其限期整改；逾期拒不整改或者整改后仍不符合条件的，应当依法撤销行政许可决定。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第十一条  </w:t>
      </w:r>
      <w:r>
        <w:rPr>
          <w:rFonts w:hint="eastAsia" w:ascii="宋体" w:hAnsi="宋体" w:cs="宋体"/>
          <w:sz w:val="32"/>
          <w:szCs w:val="32"/>
          <w:shd w:val="clear" w:color="auto" w:fill="FFFFFF"/>
        </w:rPr>
        <w:t>取得旅馆业、公章刻制业《特种行业许可证》的经营者，改建、扩建营业场所，变更名称、地址、布局设施、法定代表人或者负责人，停业、转业的，应当在</w:t>
      </w:r>
      <w:r>
        <w:rPr>
          <w:rFonts w:hint="eastAsia" w:ascii="Times New Roman" w:hAnsi="Times New Roman" w:cs="宋体"/>
          <w:sz w:val="32"/>
          <w:szCs w:val="32"/>
          <w:shd w:val="clear" w:color="auto" w:fill="FFFFFF"/>
        </w:rPr>
        <w:t>15</w:t>
      </w:r>
      <w:r>
        <w:rPr>
          <w:rFonts w:hint="eastAsia" w:ascii="宋体" w:hAnsi="宋体" w:cs="宋体"/>
          <w:sz w:val="32"/>
          <w:szCs w:val="32"/>
          <w:shd w:val="clear" w:color="auto" w:fill="FFFFFF"/>
        </w:rPr>
        <w:t>日内向所在地的县公安机关依法变更或者注销。</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cs="仿宋_GB2312"/>
          <w:sz w:val="32"/>
          <w:szCs w:val="32"/>
          <w:shd w:val="clear" w:color="auto" w:fill="FFFFFF"/>
        </w:rPr>
      </w:pPr>
      <w:r>
        <w:rPr>
          <w:rFonts w:hint="eastAsia" w:ascii="宋体" w:hAnsi="宋体" w:eastAsia="黑体" w:cs="宋体"/>
          <w:bCs/>
          <w:sz w:val="32"/>
          <w:szCs w:val="32"/>
          <w:shd w:val="clear" w:color="auto" w:fill="FFFFFF"/>
        </w:rPr>
        <w:t xml:space="preserve">第十二条  </w:t>
      </w:r>
      <w:r>
        <w:rPr>
          <w:rFonts w:hint="eastAsia" w:ascii="宋体" w:hAnsi="宋体" w:cs="宋体"/>
          <w:sz w:val="32"/>
          <w:szCs w:val="32"/>
          <w:shd w:val="clear" w:color="auto" w:fill="FFFFFF"/>
        </w:rPr>
        <w:t>从事本办</w:t>
      </w:r>
      <w:r>
        <w:rPr>
          <w:rFonts w:hint="eastAsia" w:cs="仿宋_GB2312"/>
          <w:sz w:val="32"/>
          <w:szCs w:val="32"/>
          <w:shd w:val="clear" w:color="auto" w:fill="FFFFFF"/>
        </w:rPr>
        <w:t>法第三条第（四）项至第（七）项治安特业经营的，应当在取得营业执照之日起</w:t>
      </w:r>
      <w:r>
        <w:rPr>
          <w:rFonts w:hint="eastAsia" w:ascii="Times New Roman" w:hAnsi="Times New Roman" w:cs="仿宋_GB2312"/>
          <w:sz w:val="32"/>
          <w:szCs w:val="32"/>
          <w:shd w:val="clear" w:color="auto" w:fill="FFFFFF"/>
        </w:rPr>
        <w:t>15</w:t>
      </w:r>
      <w:r>
        <w:rPr>
          <w:rFonts w:hint="eastAsia" w:cs="仿宋_GB2312"/>
          <w:sz w:val="32"/>
          <w:szCs w:val="32"/>
          <w:shd w:val="clear" w:color="auto" w:fill="FFFFFF"/>
        </w:rPr>
        <w:t>日内向所在地公安派出所备案，并提交下列材料：</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cs="仿宋_GB2312"/>
          <w:sz w:val="32"/>
          <w:szCs w:val="32"/>
          <w:shd w:val="clear" w:color="auto" w:fill="FFFFFF"/>
        </w:rPr>
        <w:t>（一）营业执照和其他有关部门的批准文件及其复印件</w:t>
      </w:r>
      <w:r>
        <w:rPr>
          <w:rFonts w:hint="eastAsia" w:ascii="宋体" w:hAnsi="宋体" w:cs="宋体"/>
          <w:sz w:val="32"/>
          <w:szCs w:val="32"/>
          <w:shd w:val="clear" w:color="auto" w:fill="FFFFFF"/>
        </w:rPr>
        <w:t>；</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（二）法定代表人或者经营负责人的身份证件及其复印件；</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（三）经营场所地理位置和内部结构平面示意图；</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（四）依法应当提交的其他材料。</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治安特业经营者变更名称、经营场所、法定代表人或者经营负责人的，应当重新备案。</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ascii="宋体" w:hAnsi="宋体" w:cs="宋体"/>
          <w:sz w:val="32"/>
          <w:szCs w:val="32"/>
        </w:rPr>
      </w:pPr>
      <w:r>
        <w:rPr>
          <w:rFonts w:hint="eastAsia" w:ascii="宋体" w:hAnsi="宋体" w:eastAsia="黑体" w:cs="宋体"/>
          <w:bCs/>
          <w:sz w:val="32"/>
          <w:szCs w:val="32"/>
          <w:shd w:val="clear" w:color="auto" w:fill="FFFFFF"/>
        </w:rPr>
        <w:t xml:space="preserve">第十三条  </w:t>
      </w:r>
      <w:r>
        <w:rPr>
          <w:rFonts w:hint="eastAsia" w:ascii="宋体" w:hAnsi="宋体" w:cs="宋体"/>
          <w:sz w:val="32"/>
          <w:szCs w:val="32"/>
          <w:shd w:val="clear" w:color="auto" w:fill="FFFFFF"/>
        </w:rPr>
        <w:t>公安机关应当落实“最多跑一次”相关规定，优化审批流程，简化办理手续，推行网上办事。</w:t>
      </w:r>
    </w:p>
    <w:p>
      <w:pPr>
        <w:pageBreakBefore w:val="0"/>
        <w:kinsoku/>
        <w:wordWrap/>
        <w:overflowPunct/>
        <w:topLinePunct w:val="0"/>
        <w:autoSpaceDE/>
        <w:bidi w:val="0"/>
        <w:adjustRightInd/>
        <w:snapToGrid/>
        <w:spacing w:before="0" w:beforeLines="0" w:after="0" w:afterLines="0" w:line="240" w:lineRule="auto"/>
        <w:ind w:firstLine="640" w:firstLineChars="200"/>
        <w:jc w:val="both"/>
        <w:outlineLvl w:val="9"/>
        <w:rPr>
          <w:rFonts w:hint="eastAsia"/>
          <w:sz w:val="32"/>
          <w:szCs w:val="32"/>
        </w:rPr>
      </w:pPr>
      <w:bookmarkStart w:id="3" w:name="_Toc5640"/>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center"/>
        <w:outlineLvl w:val="9"/>
        <w:rPr>
          <w:rFonts w:hint="eastAsia" w:ascii="宋体" w:hAnsi="宋体" w:eastAsia="黑体" w:cs="宋体"/>
          <w:bCs/>
          <w:sz w:val="32"/>
          <w:szCs w:val="32"/>
          <w:shd w:val="clear" w:color="auto" w:fill="FFFFFF"/>
        </w:rPr>
      </w:pPr>
      <w:r>
        <w:rPr>
          <w:rFonts w:hint="eastAsia" w:ascii="宋体" w:hAnsi="宋体" w:eastAsia="黑体" w:cs="宋体"/>
          <w:bCs/>
          <w:sz w:val="32"/>
          <w:szCs w:val="32"/>
          <w:shd w:val="clear" w:color="auto" w:fill="FFFFFF"/>
        </w:rPr>
        <w:t>第三章　从业规范</w:t>
      </w:r>
      <w:bookmarkEnd w:id="3"/>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eastAsia="黑体" w:cs="宋体"/>
          <w:bCs/>
          <w:sz w:val="32"/>
          <w:szCs w:val="32"/>
          <w:shd w:val="clear" w:color="auto" w:fill="FFFFFF"/>
        </w:r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第十四条  </w:t>
      </w:r>
      <w:r>
        <w:rPr>
          <w:rFonts w:hint="eastAsia" w:ascii="宋体" w:hAnsi="宋体" w:cs="宋体"/>
          <w:sz w:val="32"/>
          <w:szCs w:val="32"/>
          <w:shd w:val="clear" w:color="auto" w:fill="FFFFFF"/>
        </w:rPr>
        <w:t>治安特业的法定代表人、负责人和因承包、受聘等实际负责治安特业经营的人员应当履行治安特业管理义务，做好治安防范工作。</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第十五条  </w:t>
      </w:r>
      <w:r>
        <w:rPr>
          <w:rFonts w:hint="eastAsia" w:ascii="宋体" w:hAnsi="宋体" w:cs="宋体"/>
          <w:sz w:val="32"/>
          <w:szCs w:val="32"/>
          <w:shd w:val="clear" w:color="auto" w:fill="FFFFFF"/>
        </w:rPr>
        <w:t>治安特业经营者应当履行下列治安责任：</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（一）建立治安管理制度，排查治安隐患，落实治安防范措施，维护消费者人身、财产安全；</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（二）接受公安机关的治安防范知识培训、指导以及治安检查；</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（三）提高从业人员法律意识，定期开展业务培训；</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（四）不得经营法律法规规定禁止经营的物品、公安机关查缉的物品以及有赃物嫌疑或者来源不明的物品；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（五）发现涉嫌违法犯罪行为以及公安机关通报寻查的赃物或者嫌疑赃物，立即报告公安机关，并协助公安机关调查。</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第十六条  </w:t>
      </w:r>
      <w:r>
        <w:rPr>
          <w:rFonts w:hint="eastAsia" w:ascii="宋体" w:hAnsi="宋体" w:cs="宋体"/>
          <w:sz w:val="32"/>
          <w:szCs w:val="32"/>
          <w:shd w:val="clear" w:color="auto" w:fill="FFFFFF"/>
        </w:rPr>
        <w:t>治安特业经营者应当建立从业人员名册，如实登记从业人员姓名、住址、身份证件种类和号码等身份信息及聘用时间、职责岗位等工作信息，留存从业人员的身份证件复印件或者外国人就业许可证件复印件。从业人员离职的，其资料至少延续留存</w:t>
      </w:r>
      <w:r>
        <w:rPr>
          <w:rFonts w:hint="eastAsia" w:ascii="Times New Roman" w:hAnsi="Times New Roman" w:cs="宋体"/>
          <w:sz w:val="32"/>
          <w:szCs w:val="32"/>
          <w:shd w:val="clear" w:color="auto" w:fill="FFFFFF"/>
        </w:rPr>
        <w:t>2</w:t>
      </w:r>
      <w:r>
        <w:rPr>
          <w:rFonts w:hint="eastAsia" w:ascii="宋体" w:hAnsi="宋体" w:cs="宋体"/>
          <w:sz w:val="32"/>
          <w:szCs w:val="32"/>
          <w:shd w:val="clear" w:color="auto" w:fill="FFFFFF"/>
        </w:rPr>
        <w:t>年。</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治安特业经营者应当通过治安管理信息系统，将上述信息向公安机关实时传输报送；暂不具备实时传输条件的，应当按照公安机关的规定定期报送。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第十七条  </w:t>
      </w:r>
      <w:r>
        <w:rPr>
          <w:rFonts w:hint="eastAsia" w:ascii="宋体" w:hAnsi="宋体" w:cs="宋体"/>
          <w:sz w:val="32"/>
          <w:szCs w:val="32"/>
          <w:shd w:val="clear" w:color="auto" w:fill="FFFFFF"/>
        </w:rPr>
        <w:t>治安特业经营者应当按照规定接入治安信息采集传输系统，并保证其正常运行。</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从事旅馆业、典当业、按摩服务业的经营者，应当在经营场所出入口、前台、主要通道、电梯轿厢、停车场等公共区域安装视频监控设备，并确保设备正常运行。视频监控录像资料保存期限不得少于</w:t>
      </w:r>
      <w:r>
        <w:rPr>
          <w:rFonts w:hint="eastAsia" w:ascii="Times New Roman" w:hAnsi="Times New Roman" w:cs="宋体"/>
          <w:sz w:val="32"/>
          <w:szCs w:val="32"/>
          <w:shd w:val="clear" w:color="auto" w:fill="FFFFFF"/>
        </w:rPr>
        <w:t>60</w:t>
      </w:r>
      <w:r>
        <w:rPr>
          <w:rFonts w:hint="eastAsia" w:ascii="宋体" w:hAnsi="宋体" w:cs="宋体"/>
          <w:sz w:val="32"/>
          <w:szCs w:val="32"/>
          <w:shd w:val="clear" w:color="auto" w:fill="FFFFFF"/>
        </w:rPr>
        <w:t>日。</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任何单位和个人不得删改、传播或者非法使用视频监控录像资料，不得非法透露有关的个人信息。</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其他行业经营者根据治安管理需要可以安装视频监控设备。</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第十八条  </w:t>
      </w:r>
      <w:r>
        <w:rPr>
          <w:rFonts w:hint="eastAsia" w:ascii="宋体" w:hAnsi="宋体" w:cs="宋体"/>
          <w:sz w:val="32"/>
          <w:szCs w:val="32"/>
          <w:shd w:val="clear" w:color="auto" w:fill="FFFFFF"/>
        </w:rPr>
        <w:t>从事旅馆业经营活动的，应当遵守下列规定：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（一）建立并落实住宿登记、来访管理、财物保管和值班巡查等制度；</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（二）按照规定设置安全保卫机构或者配备专职、兼职治安保卫人员；</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（三）核对住宿旅客的身份证件，如实登记其姓名、住址、身份证件种类和号码以及入住、退房时间等信息，并实时通过治安管理信息系统向公安机关传输报送；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（四）对凌晨</w:t>
      </w:r>
      <w:r>
        <w:rPr>
          <w:rFonts w:hint="eastAsia" w:ascii="Times New Roman" w:hAnsi="Times New Roman" w:cs="宋体"/>
          <w:sz w:val="32"/>
          <w:szCs w:val="32"/>
          <w:shd w:val="clear" w:color="auto" w:fill="FFFFFF"/>
        </w:rPr>
        <w:t>0</w:t>
      </w:r>
      <w:r>
        <w:rPr>
          <w:rFonts w:hint="eastAsia" w:ascii="宋体" w:hAnsi="宋体" w:cs="宋体"/>
          <w:sz w:val="32"/>
          <w:szCs w:val="32"/>
          <w:shd w:val="clear" w:color="auto" w:fill="FFFFFF"/>
        </w:rPr>
        <w:t>时后发现旅客私自容留访客住宿的，应当要求访客办理入住手续；拒不办理的，及时向公安机关报告；</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（五）对旅客遗留的财物，应当妥善保管，及时通知旅客领取或者送交公安机关处理；</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（六）不得存放危险物品和违禁物品；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（七）不得为卖淫、嫖娼、赌博、吸毒、贩毒等违法犯罪活动提供条件；</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（八）法律、法规的其他规定。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未携带身份证件的旅客入住旅馆，可以通过识别设备核验，或者经属地公安派出所确认后，办理登记入住。</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第十九条  </w:t>
      </w:r>
      <w:r>
        <w:rPr>
          <w:rFonts w:hint="eastAsia" w:ascii="宋体" w:hAnsi="宋体" w:cs="宋体"/>
          <w:sz w:val="32"/>
          <w:szCs w:val="32"/>
          <w:shd w:val="clear" w:color="auto" w:fill="FFFFFF"/>
        </w:rPr>
        <w:t>从事公章刻制业经营活动的，应当遵守下列规定：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（一）建立并落实公章刻制核验、档案管理等制度，采集申请单位或者机构的基本信息，法定代表人、经营者、经办人的有效身份证件信息和联系方式；</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（二）样章经检测合格后方可生产制作；</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（三）公章刻制后，应当在规定时限内将印模等信息和本条第一项规定的信息通过治安管理信息系统向公安机关传输报送；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（四）对超过约定期限</w:t>
      </w:r>
      <w:r>
        <w:rPr>
          <w:rFonts w:hint="eastAsia" w:ascii="Times New Roman" w:hAnsi="Times New Roman" w:cs="宋体"/>
          <w:sz w:val="32"/>
          <w:szCs w:val="32"/>
          <w:shd w:val="clear" w:color="auto" w:fill="FFFFFF"/>
        </w:rPr>
        <w:t>3</w:t>
      </w:r>
      <w:r>
        <w:rPr>
          <w:rFonts w:hint="eastAsia" w:ascii="宋体" w:hAnsi="宋体" w:cs="宋体"/>
          <w:sz w:val="32"/>
          <w:szCs w:val="32"/>
          <w:shd w:val="clear" w:color="auto" w:fill="FFFFFF"/>
        </w:rPr>
        <w:t>个月未领取的公章，应当登记造册、销毁；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（五）终止经营的，应当将公章档案材料及时交由公安机关处理；</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（六）协助公安机关查询公章信息；</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（七）法律、法规的其他规定。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用章单位应当到取得《特种行业许可证》的公章刻制单位刻制公章。</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第二十条  </w:t>
      </w:r>
      <w:r>
        <w:rPr>
          <w:rFonts w:hint="eastAsia" w:ascii="宋体" w:hAnsi="宋体" w:cs="宋体"/>
          <w:sz w:val="32"/>
          <w:szCs w:val="32"/>
          <w:shd w:val="clear" w:color="auto" w:fill="FFFFFF"/>
        </w:rPr>
        <w:t>从事典当业经营活动的，应当遵守下列规定：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（一）建立并落实当物查验、登记和保管制度，如实登记当物和当户信息，并实时通过治安管理信息系统向公安机关传输报送；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（二）不得收当国家禁止流通的物品；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（三）法律、法规的其他规定。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第二十一条  </w:t>
      </w:r>
      <w:r>
        <w:rPr>
          <w:rFonts w:hint="eastAsia" w:ascii="宋体" w:hAnsi="宋体" w:cs="宋体"/>
          <w:sz w:val="32"/>
          <w:szCs w:val="32"/>
          <w:shd w:val="clear" w:color="auto" w:fill="FFFFFF"/>
        </w:rPr>
        <w:t>从事开锁业经营活动的，应当遵守下列规定：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（一）从业人员应当到所在地公安派出所留存个人基本信息；</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（二）为居民上门开启锁具前，应当确认并留存委托人身份信息，并邀请邻居、物业管理人员或者社区、居（村）民委员会工作人员到场，发现有违法犯罪嫌疑的，立即向公安机关报告；</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（三）为机关、企事业单位或者机动车开启锁具的，应当确认委托人身份、组织机构代码证或者机动车行驶证；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（四）如实填写开锁服务记录单，由委托人、见证人、开锁技术人员分别签名、注明联系方式，并留存备查；</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（五）法律、法规的其他规定。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从事开锁业经营活动，经过公安机关备案的，由公安机关向社会公布经营者名单。</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任何单位和个人不得擅自在楼道、户外及公共场所书写、张贴、悬挂锁具修理广告。</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第二十二条  </w:t>
      </w:r>
      <w:r>
        <w:rPr>
          <w:rFonts w:hint="eastAsia" w:ascii="宋体" w:hAnsi="宋体" w:cs="宋体"/>
          <w:sz w:val="32"/>
          <w:szCs w:val="32"/>
          <w:shd w:val="clear" w:color="auto" w:fill="FFFFFF"/>
        </w:rPr>
        <w:t>从事生产性废旧金属收购业经营活动的，应当遵守下列规定：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（一）建立并落实查验登记制度，如实登记交易物品的名称、数量、规格等信息并留存备查；</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（二）收购大宗生产性废旧金属或者铁路、油田、电力、电信、矿山、水利、测量和市政公用设施等废旧专用器材的，查验并留存其合法来源信息，如实登记出售人和经办人的有效身份证件信息和联系方式；</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（三）不得收购国家禁止收购的物品；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（四）法律、法规的其他规定。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第二十三条  </w:t>
      </w:r>
      <w:r>
        <w:rPr>
          <w:rFonts w:hint="eastAsia" w:ascii="宋体" w:hAnsi="宋体" w:cs="宋体"/>
          <w:sz w:val="32"/>
          <w:szCs w:val="32"/>
          <w:shd w:val="clear" w:color="auto" w:fill="FFFFFF"/>
        </w:rPr>
        <w:t>从事机动车维修业经营活动的，应当遵守下列规定：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（一）登记维修车辆的品牌、车型、颜色、牌照号码、发动机号码、车架号码、车主名称、送修人身份证件等信息，并实时通过治安管理信息系统向公安机关传输报送；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（二）不得维修、改装、拆解明知是盗窃、抢劫、走私等违法犯罪所得的机动车；</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（三）不得更改发动机号码和车架号码、回收报废机动车；</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（四）不得拼装、组装机动车；</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（五）法律、法规的其他规定。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第二十四条  </w:t>
      </w:r>
      <w:r>
        <w:rPr>
          <w:rFonts w:hint="eastAsia" w:ascii="宋体" w:hAnsi="宋体" w:cs="宋体"/>
          <w:sz w:val="32"/>
          <w:szCs w:val="32"/>
          <w:shd w:val="clear" w:color="auto" w:fill="FFFFFF"/>
        </w:rPr>
        <w:t>从事按摩服务业经营活动的，应当遵守下列规定：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（一）包厢、包间内不得设置阻碍展现室内整体环境的屏风、隔扇、板壁等隔断，除卫生间外不得设立任何形式的房中房；</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（二）包厢、包间的门应当设置可视窗，可视窗应当使用双向透明材质，能够展示室内按摩区域整体环境，不得遮挡可视窗；</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（三）营业大厅、包厢、包间内的照明灯亮度能够清晰辨明室内整体情况，不得设置可调试亮度或者彩色的照明灯；</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（四）客房和包厢、包间明显区分，并悬挂标识、标牌，按摩人员不得进入客房服务；</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（五）包厢、包间的门不得安装门锁、插销等阻碍他人自由进出包厢、包间的装置；</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（六）不得设置用于逃避、阻碍治安检查的暗道、门锁、信号灯、响铃等设施；</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（七）按照公安机关的规定张贴治安管理相关标识；</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（八）不得从事卖淫、嫖娼、赌博、吸毒、淫秽表演、敲诈勒索、传播淫秽物品及其他违法犯罪活动或者为其提供条件；</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（九）法律、法规的其他规定。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ascii="宋体" w:hAnsi="宋体" w:cs="宋体"/>
          <w:sz w:val="32"/>
          <w:szCs w:val="32"/>
        </w:rPr>
      </w:pPr>
      <w:r>
        <w:rPr>
          <w:rFonts w:hint="eastAsia" w:ascii="宋体" w:hAnsi="宋体" w:cs="宋体"/>
          <w:sz w:val="32"/>
          <w:szCs w:val="32"/>
          <w:shd w:val="clear" w:color="auto" w:fill="FFFFFF"/>
        </w:rPr>
        <w:t>凌晨</w:t>
      </w:r>
      <w:r>
        <w:rPr>
          <w:rFonts w:hint="eastAsia" w:ascii="Times New Roman" w:hAnsi="Times New Roman" w:cs="宋体"/>
          <w:sz w:val="32"/>
          <w:szCs w:val="32"/>
          <w:shd w:val="clear" w:color="auto" w:fill="FFFFFF"/>
        </w:rPr>
        <w:t>2</w:t>
      </w:r>
      <w:r>
        <w:rPr>
          <w:rFonts w:hint="eastAsia" w:ascii="宋体" w:hAnsi="宋体" w:cs="宋体"/>
          <w:sz w:val="32"/>
          <w:szCs w:val="32"/>
          <w:shd w:val="clear" w:color="auto" w:fill="FFFFFF"/>
        </w:rPr>
        <w:t>时至上午</w:t>
      </w:r>
      <w:r>
        <w:rPr>
          <w:rFonts w:hint="eastAsia" w:ascii="Times New Roman" w:hAnsi="Times New Roman" w:cs="宋体"/>
          <w:sz w:val="32"/>
          <w:szCs w:val="32"/>
          <w:shd w:val="clear" w:color="auto" w:fill="FFFFFF"/>
        </w:rPr>
        <w:t>8</w:t>
      </w:r>
      <w:r>
        <w:rPr>
          <w:rFonts w:hint="eastAsia" w:ascii="宋体" w:hAnsi="宋体" w:cs="宋体"/>
          <w:sz w:val="32"/>
          <w:szCs w:val="32"/>
          <w:shd w:val="clear" w:color="auto" w:fill="FFFFFF"/>
        </w:rPr>
        <w:t>时，在取得《特种行业许可证》的提供按摩服务的洗浴、足浴等场所内休息的人员，应当查验其身份，如实登记姓名、住址、身份证件种类和号码等信息，并实时通过治安管理信息系统向公安机关传输报送。对在提供按摩服务场所内设置客房的，应当严格遵守旅馆业相关管理规定。</w:t>
      </w:r>
    </w:p>
    <w:p>
      <w:pPr>
        <w:pageBreakBefore w:val="0"/>
        <w:kinsoku/>
        <w:wordWrap/>
        <w:overflowPunct/>
        <w:topLinePunct w:val="0"/>
        <w:autoSpaceDE/>
        <w:bidi w:val="0"/>
        <w:adjustRightInd/>
        <w:snapToGrid/>
        <w:spacing w:before="0" w:beforeLines="0" w:after="0" w:afterLines="0" w:line="240" w:lineRule="auto"/>
        <w:ind w:firstLine="640" w:firstLineChars="200"/>
        <w:jc w:val="both"/>
        <w:outlineLvl w:val="9"/>
        <w:rPr>
          <w:rFonts w:hint="eastAsia"/>
          <w:sz w:val="32"/>
          <w:szCs w:val="32"/>
        </w:rPr>
      </w:pPr>
      <w:bookmarkStart w:id="4" w:name="_Toc14893"/>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center"/>
        <w:outlineLvl w:val="9"/>
        <w:rPr>
          <w:rFonts w:hint="eastAsia" w:ascii="宋体" w:hAnsi="宋体" w:eastAsia="黑体" w:cs="宋体"/>
          <w:bCs/>
          <w:sz w:val="32"/>
          <w:szCs w:val="32"/>
          <w:shd w:val="clear" w:color="auto" w:fill="FFFFFF"/>
        </w:rPr>
      </w:pPr>
      <w:r>
        <w:rPr>
          <w:rFonts w:hint="eastAsia" w:ascii="宋体" w:hAnsi="宋体" w:eastAsia="黑体" w:cs="宋体"/>
          <w:bCs/>
          <w:sz w:val="32"/>
          <w:szCs w:val="32"/>
          <w:shd w:val="clear" w:color="auto" w:fill="FFFFFF"/>
        </w:rPr>
        <w:t>第四章　监督检查</w:t>
      </w:r>
      <w:bookmarkEnd w:id="4"/>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eastAsia="黑体" w:cs="宋体"/>
          <w:bCs/>
          <w:sz w:val="32"/>
          <w:szCs w:val="32"/>
          <w:shd w:val="clear" w:color="auto" w:fill="FFFFFF"/>
        </w:r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第二十五条  </w:t>
      </w:r>
      <w:r>
        <w:rPr>
          <w:rFonts w:hint="eastAsia" w:ascii="宋体" w:hAnsi="宋体" w:cs="宋体"/>
          <w:sz w:val="32"/>
          <w:szCs w:val="32"/>
          <w:shd w:val="clear" w:color="auto" w:fill="FFFFFF"/>
        </w:rPr>
        <w:t>公安机关应当依法规范治安特业管理，严格、规范、公正、文明执法，按照国家和省关于优化营商环境规定提供优质服务，自觉接受社会和公民监督。</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第二十六条  </w:t>
      </w:r>
      <w:r>
        <w:rPr>
          <w:rFonts w:hint="eastAsia" w:ascii="宋体" w:hAnsi="宋体" w:cs="宋体"/>
          <w:sz w:val="32"/>
          <w:szCs w:val="32"/>
          <w:shd w:val="clear" w:color="auto" w:fill="FFFFFF"/>
        </w:rPr>
        <w:t>公安机关对治安特业进行检查时，可以依法采取下列措施：</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（一）实地查看经营场所治安管理制度落实情况；</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（二）检查从业人员身份证件；</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（三）检查交易物品或者承揽物品；</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（四）调阅从业人员名簿、视频监控录像和其他相关资料；</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（五）法律、法规规定的其他措施。</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第二十七条  </w:t>
      </w:r>
      <w:r>
        <w:rPr>
          <w:rFonts w:hint="eastAsia" w:ascii="宋体" w:hAnsi="宋体" w:cs="宋体"/>
          <w:sz w:val="32"/>
          <w:szCs w:val="32"/>
          <w:shd w:val="clear" w:color="auto" w:fill="FFFFFF"/>
        </w:rPr>
        <w:t>公安机关的人民警察开展治安检查，应当制定计划，经批准后实施。在检查中，应当最大限度地减少频次，尽量避免或者减少对经营者正常经营活动的影响，对知晓的国家秘密、商业秘密或者个人隐私依法予以保密。</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除上级公安机关组织或者批准以外，不得跨行政区域对治安特业进行检查。</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第二十八条  </w:t>
      </w:r>
      <w:r>
        <w:rPr>
          <w:rFonts w:hint="eastAsia" w:ascii="宋体" w:hAnsi="宋体" w:cs="宋体"/>
          <w:sz w:val="32"/>
          <w:szCs w:val="32"/>
          <w:shd w:val="clear" w:color="auto" w:fill="FFFFFF"/>
        </w:rPr>
        <w:t>公安机关的人民警察对治安特业进行检查时，应当不少于</w:t>
      </w:r>
      <w:r>
        <w:rPr>
          <w:rFonts w:hint="eastAsia" w:ascii="Times New Roman" w:hAnsi="Times New Roman" w:cs="宋体"/>
          <w:sz w:val="32"/>
          <w:szCs w:val="32"/>
          <w:shd w:val="clear" w:color="auto" w:fill="FFFFFF"/>
        </w:rPr>
        <w:t>2</w:t>
      </w:r>
      <w:r>
        <w:rPr>
          <w:rFonts w:hint="eastAsia" w:ascii="宋体" w:hAnsi="宋体" w:cs="宋体"/>
          <w:sz w:val="32"/>
          <w:szCs w:val="32"/>
          <w:shd w:val="clear" w:color="auto" w:fill="FFFFFF"/>
        </w:rPr>
        <w:t>人，并主动出示人民警察证件和规定的检查证件，不得从事与职务无关的活动。</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对治安特业进行检查，实行治安检查登记制度。检查结果由执法人员和被检查方签字确认。</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第二十九条  </w:t>
      </w:r>
      <w:r>
        <w:rPr>
          <w:rFonts w:hint="eastAsia" w:ascii="宋体" w:hAnsi="宋体" w:cs="宋体"/>
          <w:sz w:val="32"/>
          <w:szCs w:val="32"/>
          <w:shd w:val="clear" w:color="auto" w:fill="FFFFFF"/>
        </w:rPr>
        <w:t>相关部门应当相互通报有关治安特业的行政许可或者行政备案、日常监管、执法查处等信息，配合公安机关进行治安检查；发现治安特业经营活动有违反本办法规定情形的，应当及时通报或者移交公安机关处理。</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第三十条  </w:t>
      </w:r>
      <w:r>
        <w:rPr>
          <w:rFonts w:hint="eastAsia" w:ascii="宋体" w:hAnsi="宋体" w:cs="宋体"/>
          <w:sz w:val="32"/>
          <w:szCs w:val="32"/>
          <w:shd w:val="clear" w:color="auto" w:fill="FFFFFF"/>
        </w:rPr>
        <w:t>公安机关的人民警察在治安特业管理中，不得有下列违反行政许可和执法程序规定、损害营商环境的行为：</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（一）对应当受理、办理的行政许可，无正当理由不受理、不办理，或者未在规定、承诺时限内办结的；</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（二）擅自增设行政许可条件、证明材料、收费项目，提高收费标准的；</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（三）违反规定随意检查、干扰企业正常生产经营活动；</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（四）滥用自由裁量权、行政处罚显失公正，以罚代管、只罚不管的；</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（五）参与、变相参与治安特业经营活动；</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（六）不依法履行对治安特业的监督检查职责，不依法查处违法行为。</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center"/>
        <w:outlineLvl w:val="9"/>
        <w:rPr>
          <w:rFonts w:hint="eastAsia" w:ascii="宋体" w:hAnsi="宋体" w:eastAsia="黑体" w:cs="宋体"/>
          <w:bCs/>
          <w:sz w:val="32"/>
          <w:szCs w:val="32"/>
          <w:shd w:val="clear" w:color="auto" w:fill="FFFFFF"/>
        </w:rPr>
      </w:pPr>
      <w:bookmarkStart w:id="5" w:name="_Toc16948"/>
      <w:r>
        <w:rPr>
          <w:rFonts w:hint="eastAsia" w:ascii="宋体" w:hAnsi="宋体" w:eastAsia="黑体" w:cs="宋体"/>
          <w:bCs/>
          <w:sz w:val="32"/>
          <w:szCs w:val="32"/>
          <w:shd w:val="clear" w:color="auto" w:fill="FFFFFF"/>
          <w:lang w:val="en-US" w:eastAsia="zh-CN"/>
        </w:rPr>
        <w:t xml:space="preserve">第五章 </w:t>
      </w:r>
      <w:r>
        <w:rPr>
          <w:rFonts w:hint="eastAsia" w:ascii="宋体" w:hAnsi="宋体" w:eastAsia="黑体" w:cs="宋体"/>
          <w:bCs/>
          <w:sz w:val="32"/>
          <w:szCs w:val="32"/>
          <w:shd w:val="clear" w:color="auto" w:fill="FFFFFF"/>
        </w:rPr>
        <w:t>法律责任</w:t>
      </w:r>
      <w:bookmarkEnd w:id="5"/>
    </w:p>
    <w:p>
      <w:pPr>
        <w:pStyle w:val="2"/>
        <w:numPr>
          <w:ilvl w:val="0"/>
          <w:numId w:val="0"/>
        </w:num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第三十一条  </w:t>
      </w:r>
      <w:r>
        <w:rPr>
          <w:rFonts w:hint="eastAsia" w:ascii="宋体" w:hAnsi="宋体" w:cs="宋体"/>
          <w:sz w:val="32"/>
          <w:szCs w:val="32"/>
          <w:shd w:val="clear" w:color="auto" w:fill="FFFFFF"/>
        </w:rPr>
        <w:t>违反本办法规定，从事治安特业经营的经营者未向所在地公安派出所备案的，由公安机关责令限期改正；逾期不改正的，处</w:t>
      </w:r>
      <w:r>
        <w:rPr>
          <w:rFonts w:hint="eastAsia" w:ascii="Times New Roman" w:hAnsi="Times New Roman" w:cs="宋体"/>
          <w:sz w:val="32"/>
          <w:szCs w:val="32"/>
          <w:shd w:val="clear" w:color="auto" w:fill="FFFFFF"/>
        </w:rPr>
        <w:t>500</w:t>
      </w:r>
      <w:r>
        <w:rPr>
          <w:rFonts w:hint="eastAsia" w:ascii="宋体" w:hAnsi="宋体" w:cs="宋体"/>
          <w:sz w:val="32"/>
          <w:szCs w:val="32"/>
          <w:shd w:val="clear" w:color="auto" w:fill="FFFFFF"/>
        </w:rPr>
        <w:t>元以上</w:t>
      </w:r>
      <w:r>
        <w:rPr>
          <w:rFonts w:hint="eastAsia" w:ascii="Times New Roman" w:hAnsi="Times New Roman" w:cs="宋体"/>
          <w:sz w:val="32"/>
          <w:szCs w:val="32"/>
          <w:shd w:val="clear" w:color="auto" w:fill="FFFFFF"/>
        </w:rPr>
        <w:t>1000</w:t>
      </w:r>
      <w:r>
        <w:rPr>
          <w:rFonts w:hint="eastAsia" w:ascii="宋体" w:hAnsi="宋体" w:cs="宋体"/>
          <w:sz w:val="32"/>
          <w:szCs w:val="32"/>
          <w:shd w:val="clear" w:color="auto" w:fill="FFFFFF"/>
        </w:rPr>
        <w:t>元以下罚款。</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第三十二条  </w:t>
      </w:r>
      <w:r>
        <w:rPr>
          <w:rFonts w:hint="eastAsia" w:ascii="宋体" w:hAnsi="宋体" w:cs="宋体"/>
          <w:sz w:val="32"/>
          <w:szCs w:val="32"/>
          <w:shd w:val="clear" w:color="auto" w:fill="FFFFFF"/>
        </w:rPr>
        <w:t>违反本办法规定，治安特业经营者未建立从业人员名册、未如实登记从业人员相关信息或者未留存资料的，由公安机关责令限期改正；逾期不改正的，处</w:t>
      </w:r>
      <w:r>
        <w:rPr>
          <w:rFonts w:hint="eastAsia" w:ascii="Times New Roman" w:hAnsi="Times New Roman" w:cs="宋体"/>
          <w:sz w:val="32"/>
          <w:szCs w:val="32"/>
          <w:shd w:val="clear" w:color="auto" w:fill="FFFFFF"/>
        </w:rPr>
        <w:t>500</w:t>
      </w:r>
      <w:r>
        <w:rPr>
          <w:rFonts w:hint="eastAsia" w:ascii="宋体" w:hAnsi="宋体" w:cs="宋体"/>
          <w:sz w:val="32"/>
          <w:szCs w:val="32"/>
          <w:shd w:val="clear" w:color="auto" w:fill="FFFFFF"/>
        </w:rPr>
        <w:t>元以上</w:t>
      </w:r>
      <w:r>
        <w:rPr>
          <w:rFonts w:hint="eastAsia" w:ascii="Times New Roman" w:hAnsi="Times New Roman" w:cs="宋体"/>
          <w:sz w:val="32"/>
          <w:szCs w:val="32"/>
          <w:shd w:val="clear" w:color="auto" w:fill="FFFFFF"/>
        </w:rPr>
        <w:t>1000</w:t>
      </w:r>
      <w:r>
        <w:rPr>
          <w:rFonts w:hint="eastAsia" w:ascii="宋体" w:hAnsi="宋体" w:cs="宋体"/>
          <w:sz w:val="32"/>
          <w:szCs w:val="32"/>
          <w:shd w:val="clear" w:color="auto" w:fill="FFFFFF"/>
        </w:rPr>
        <w:t>元以下罚款。</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第三十三条  </w:t>
      </w:r>
      <w:r>
        <w:rPr>
          <w:rFonts w:hint="eastAsia" w:ascii="宋体" w:hAnsi="宋体" w:cs="宋体"/>
          <w:sz w:val="32"/>
          <w:szCs w:val="32"/>
          <w:shd w:val="clear" w:color="auto" w:fill="FFFFFF"/>
        </w:rPr>
        <w:t>违反本办法规定，从事旅馆业、典当业、按摩服务业的经营者未安装视频监控设备或者设备不正常运行的，由公安机关处</w:t>
      </w:r>
      <w:r>
        <w:rPr>
          <w:rFonts w:hint="eastAsia" w:ascii="Times New Roman" w:hAnsi="Times New Roman" w:cs="宋体"/>
          <w:sz w:val="32"/>
          <w:szCs w:val="32"/>
          <w:shd w:val="clear" w:color="auto" w:fill="FFFFFF"/>
        </w:rPr>
        <w:t>2000</w:t>
      </w:r>
      <w:r>
        <w:rPr>
          <w:rFonts w:hint="eastAsia" w:ascii="宋体" w:hAnsi="宋体" w:cs="宋体"/>
          <w:sz w:val="32"/>
          <w:szCs w:val="32"/>
          <w:shd w:val="clear" w:color="auto" w:fill="FFFFFF"/>
        </w:rPr>
        <w:t>元以上</w:t>
      </w:r>
      <w:r>
        <w:rPr>
          <w:rFonts w:hint="eastAsia" w:ascii="Times New Roman" w:hAnsi="Times New Roman" w:cs="宋体"/>
          <w:sz w:val="32"/>
          <w:szCs w:val="32"/>
          <w:shd w:val="clear" w:color="auto" w:fill="FFFFFF"/>
        </w:rPr>
        <w:t>5000</w:t>
      </w:r>
      <w:r>
        <w:rPr>
          <w:rFonts w:hint="eastAsia" w:ascii="宋体" w:hAnsi="宋体" w:cs="宋体"/>
          <w:sz w:val="32"/>
          <w:szCs w:val="32"/>
          <w:shd w:val="clear" w:color="auto" w:fill="FFFFFF"/>
        </w:rPr>
        <w:t>元以下罚款；未按照规定期限保存视频监控录像资料的，处</w:t>
      </w:r>
      <w:r>
        <w:rPr>
          <w:rFonts w:hint="eastAsia" w:ascii="Times New Roman" w:hAnsi="Times New Roman" w:cs="宋体"/>
          <w:sz w:val="32"/>
          <w:szCs w:val="32"/>
          <w:shd w:val="clear" w:color="auto" w:fill="FFFFFF"/>
        </w:rPr>
        <w:t>500</w:t>
      </w:r>
      <w:r>
        <w:rPr>
          <w:rFonts w:hint="eastAsia" w:ascii="宋体" w:hAnsi="宋体" w:cs="宋体"/>
          <w:sz w:val="32"/>
          <w:szCs w:val="32"/>
          <w:shd w:val="clear" w:color="auto" w:fill="FFFFFF"/>
        </w:rPr>
        <w:t>元以上</w:t>
      </w:r>
      <w:r>
        <w:rPr>
          <w:rFonts w:hint="eastAsia" w:ascii="Times New Roman" w:hAnsi="Times New Roman" w:cs="宋体"/>
          <w:sz w:val="32"/>
          <w:szCs w:val="32"/>
          <w:shd w:val="clear" w:color="auto" w:fill="FFFFFF"/>
        </w:rPr>
        <w:t>2000</w:t>
      </w:r>
      <w:r>
        <w:rPr>
          <w:rFonts w:hint="eastAsia" w:ascii="宋体" w:hAnsi="宋体" w:cs="宋体"/>
          <w:sz w:val="32"/>
          <w:szCs w:val="32"/>
          <w:shd w:val="clear" w:color="auto" w:fill="FFFFFF"/>
        </w:rPr>
        <w:t>元以下罚款；删改、传播、非法使用视频监控录像资料或者非法透露有关个人信息的，处</w:t>
      </w:r>
      <w:r>
        <w:rPr>
          <w:rFonts w:hint="eastAsia" w:ascii="Times New Roman" w:hAnsi="Times New Roman" w:cs="宋体"/>
          <w:sz w:val="32"/>
          <w:szCs w:val="32"/>
          <w:shd w:val="clear" w:color="auto" w:fill="FFFFFF"/>
        </w:rPr>
        <w:t>5000</w:t>
      </w:r>
      <w:r>
        <w:rPr>
          <w:rFonts w:hint="eastAsia" w:ascii="宋体" w:hAnsi="宋体" w:cs="宋体"/>
          <w:sz w:val="32"/>
          <w:szCs w:val="32"/>
          <w:shd w:val="clear" w:color="auto" w:fill="FFFFFF"/>
        </w:rPr>
        <w:t>元以上</w:t>
      </w:r>
      <w:r>
        <w:rPr>
          <w:rFonts w:hint="eastAsia" w:ascii="Times New Roman" w:hAnsi="Times New Roman" w:cs="宋体"/>
          <w:sz w:val="32"/>
          <w:szCs w:val="32"/>
          <w:shd w:val="clear" w:color="auto" w:fill="FFFFFF"/>
        </w:rPr>
        <w:t>20000</w:t>
      </w:r>
      <w:r>
        <w:rPr>
          <w:rFonts w:hint="eastAsia" w:ascii="宋体" w:hAnsi="宋体" w:cs="宋体"/>
          <w:sz w:val="32"/>
          <w:szCs w:val="32"/>
          <w:shd w:val="clear" w:color="auto" w:fill="FFFFFF"/>
        </w:rPr>
        <w:t>元以下罚款。</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第三十四条</w:t>
      </w:r>
      <w:r>
        <w:rPr>
          <w:rFonts w:hint="eastAsia" w:ascii="宋体" w:hAnsi="宋体" w:cs="宋体"/>
          <w:bCs/>
          <w:sz w:val="32"/>
          <w:szCs w:val="32"/>
          <w:shd w:val="clear" w:color="auto" w:fill="FFFFFF"/>
        </w:rPr>
        <w:t xml:space="preserve">  </w:t>
      </w:r>
      <w:r>
        <w:rPr>
          <w:rFonts w:hint="eastAsia" w:ascii="宋体" w:hAnsi="宋体" w:cs="宋体"/>
          <w:sz w:val="32"/>
          <w:szCs w:val="32"/>
          <w:shd w:val="clear" w:color="auto" w:fill="FFFFFF"/>
        </w:rPr>
        <w:t>违反本办法规定，开锁业从业人员未到所在地公安派出所留存个人相关信息的，由公安机关责令限期改正；逾期不改正的，处</w:t>
      </w:r>
      <w:r>
        <w:rPr>
          <w:rFonts w:hint="eastAsia" w:ascii="Times New Roman" w:hAnsi="Times New Roman" w:cs="宋体"/>
          <w:sz w:val="32"/>
          <w:szCs w:val="32"/>
          <w:shd w:val="clear" w:color="auto" w:fill="FFFFFF"/>
        </w:rPr>
        <w:t>500</w:t>
      </w:r>
      <w:r>
        <w:rPr>
          <w:rFonts w:hint="eastAsia" w:ascii="宋体" w:hAnsi="宋体" w:cs="宋体"/>
          <w:sz w:val="32"/>
          <w:szCs w:val="32"/>
          <w:shd w:val="clear" w:color="auto" w:fill="FFFFFF"/>
        </w:rPr>
        <w:t>元以上</w:t>
      </w:r>
      <w:r>
        <w:rPr>
          <w:rFonts w:hint="eastAsia" w:ascii="Times New Roman" w:hAnsi="Times New Roman" w:cs="宋体"/>
          <w:sz w:val="32"/>
          <w:szCs w:val="32"/>
          <w:shd w:val="clear" w:color="auto" w:fill="FFFFFF"/>
        </w:rPr>
        <w:t>1000</w:t>
      </w:r>
      <w:r>
        <w:rPr>
          <w:rFonts w:hint="eastAsia" w:ascii="宋体" w:hAnsi="宋体" w:cs="宋体"/>
          <w:sz w:val="32"/>
          <w:szCs w:val="32"/>
          <w:shd w:val="clear" w:color="auto" w:fill="FFFFFF"/>
        </w:rPr>
        <w:t>元以下罚款。</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第三十五条</w:t>
      </w:r>
      <w:r>
        <w:rPr>
          <w:rFonts w:hint="eastAsia" w:ascii="宋体" w:hAnsi="宋体" w:cs="宋体"/>
          <w:bCs/>
          <w:sz w:val="32"/>
          <w:szCs w:val="32"/>
          <w:shd w:val="clear" w:color="auto" w:fill="FFFFFF"/>
        </w:rPr>
        <w:t xml:space="preserve">  </w:t>
      </w:r>
      <w:r>
        <w:rPr>
          <w:rFonts w:hint="eastAsia" w:ascii="宋体" w:hAnsi="宋体" w:cs="宋体"/>
          <w:sz w:val="32"/>
          <w:szCs w:val="32"/>
          <w:shd w:val="clear" w:color="auto" w:fill="FFFFFF"/>
        </w:rPr>
        <w:t>违反本办法规定，提供按摩的场所设施未按照规定设置，安装门锁、插销等阻碍他人自由进出包厢、包间的装置或者设置用于逃避、阻碍治安检查的暗道、门锁、信号灯、响铃等设施的，由公安机关责令限期改正；逾期不改正的，处</w:t>
      </w:r>
      <w:r>
        <w:rPr>
          <w:rFonts w:hint="eastAsia" w:ascii="Times New Roman" w:hAnsi="Times New Roman" w:cs="宋体"/>
          <w:sz w:val="32"/>
          <w:szCs w:val="32"/>
          <w:shd w:val="clear" w:color="auto" w:fill="FFFFFF"/>
        </w:rPr>
        <w:t>5000</w:t>
      </w:r>
      <w:r>
        <w:rPr>
          <w:rFonts w:hint="eastAsia" w:ascii="宋体" w:hAnsi="宋体" w:cs="宋体"/>
          <w:sz w:val="32"/>
          <w:szCs w:val="32"/>
          <w:shd w:val="clear" w:color="auto" w:fill="FFFFFF"/>
        </w:rPr>
        <w:t>元以上</w:t>
      </w:r>
      <w:r>
        <w:rPr>
          <w:rFonts w:hint="eastAsia" w:ascii="Times New Roman" w:hAnsi="Times New Roman" w:cs="宋体"/>
          <w:sz w:val="32"/>
          <w:szCs w:val="32"/>
          <w:shd w:val="clear" w:color="auto" w:fill="FFFFFF"/>
        </w:rPr>
        <w:t>10000</w:t>
      </w:r>
      <w:r>
        <w:rPr>
          <w:rFonts w:hint="eastAsia" w:ascii="宋体" w:hAnsi="宋体" w:cs="宋体"/>
          <w:sz w:val="32"/>
          <w:szCs w:val="32"/>
          <w:shd w:val="clear" w:color="auto" w:fill="FFFFFF"/>
        </w:rPr>
        <w:t>元以下罚款。</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第三十六条</w:t>
      </w:r>
      <w:r>
        <w:rPr>
          <w:rFonts w:hint="eastAsia" w:ascii="宋体" w:hAnsi="宋体" w:cs="宋体"/>
          <w:bCs/>
          <w:sz w:val="32"/>
          <w:szCs w:val="32"/>
          <w:shd w:val="clear" w:color="auto" w:fill="FFFFFF"/>
        </w:rPr>
        <w:t xml:space="preserve">  </w:t>
      </w:r>
      <w:r>
        <w:rPr>
          <w:rFonts w:hint="eastAsia" w:ascii="宋体" w:hAnsi="宋体" w:cs="宋体"/>
          <w:sz w:val="32"/>
          <w:szCs w:val="32"/>
          <w:shd w:val="clear" w:color="auto" w:fill="FFFFFF"/>
        </w:rPr>
        <w:t>公安机关的人民警察在治安特业管理中，违反行政许可和执法程序规定、损害营商环境的，或者滥用职权、玩忽职守、徇私舞弊的，由其所在单位或者上级主管部门依法给予处分；构成犯罪的，依法追究刑事责任。</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第三十七条 </w:t>
      </w:r>
      <w:r>
        <w:rPr>
          <w:rFonts w:hint="eastAsia" w:ascii="宋体" w:hAnsi="宋体" w:cs="宋体"/>
          <w:bCs/>
          <w:sz w:val="32"/>
          <w:szCs w:val="32"/>
          <w:shd w:val="clear" w:color="auto" w:fill="FFFFFF"/>
        </w:rPr>
        <w:t xml:space="preserve"> </w:t>
      </w:r>
      <w:r>
        <w:rPr>
          <w:rFonts w:hint="eastAsia" w:ascii="宋体" w:hAnsi="宋体" w:cs="宋体"/>
          <w:sz w:val="32"/>
          <w:szCs w:val="32"/>
          <w:shd w:val="clear" w:color="auto" w:fill="FFFFFF"/>
        </w:rPr>
        <w:t>违反本办法规定的其他行为，法律、法规、规章有处罚规定的，从其规定。</w:t>
      </w: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宋体" w:hAnsi="宋体" w:cs="宋体"/>
          <w:sz w:val="32"/>
          <w:szCs w:val="32"/>
          <w:shd w:val="clear" w:color="auto" w:fill="FFFFFF"/>
        </w:rPr>
      </w:pPr>
      <w:bookmarkStart w:id="7" w:name="_GoBack"/>
      <w:bookmarkEnd w:id="7"/>
    </w:p>
    <w:p>
      <w:pPr>
        <w:pStyle w:val="10"/>
        <w:pageBreakBefore w:val="0"/>
        <w:numPr>
          <w:ilvl w:val="0"/>
          <w:numId w:val="1"/>
        </w:numPr>
        <w:shd w:val="clear" w:color="auto" w:fill="FFFFFF"/>
        <w:kinsoku/>
        <w:wordWrap/>
        <w:overflowPunct/>
        <w:topLinePunct w:val="0"/>
        <w:autoSpaceDE/>
        <w:bidi w:val="0"/>
        <w:adjustRightInd/>
        <w:snapToGrid/>
        <w:spacing w:beforeAutospacing="0" w:afterAutospacing="0" w:line="240" w:lineRule="auto"/>
        <w:ind w:firstLine="640" w:firstLineChars="200"/>
        <w:jc w:val="center"/>
        <w:outlineLvl w:val="9"/>
        <w:rPr>
          <w:rFonts w:hint="eastAsia" w:ascii="宋体" w:hAnsi="宋体" w:eastAsia="黑体" w:cs="宋体"/>
          <w:bCs/>
          <w:sz w:val="32"/>
          <w:szCs w:val="32"/>
          <w:shd w:val="clear" w:color="auto" w:fill="FFFFFF"/>
          <w:lang w:val="en-US" w:eastAsia="zh-CN"/>
        </w:rPr>
      </w:pPr>
      <w:bookmarkStart w:id="6" w:name="_Toc7405"/>
      <w:r>
        <w:rPr>
          <w:rFonts w:hint="eastAsia" w:ascii="宋体" w:hAnsi="宋体" w:eastAsia="黑体" w:cs="宋体"/>
          <w:bCs/>
          <w:sz w:val="32"/>
          <w:szCs w:val="32"/>
          <w:shd w:val="clear" w:color="auto" w:fill="FFFFFF"/>
          <w:lang w:val="en-US" w:eastAsia="zh-CN"/>
        </w:rPr>
        <w:t>附  则</w:t>
      </w:r>
      <w:bookmarkEnd w:id="6"/>
    </w:p>
    <w:p>
      <w:pPr>
        <w:pStyle w:val="10"/>
        <w:pageBreakBefore w:val="0"/>
        <w:numPr>
          <w:numId w:val="0"/>
        </w:numPr>
        <w:shd w:val="clear" w:color="auto" w:fill="FFFFFF"/>
        <w:kinsoku/>
        <w:wordWrap/>
        <w:overflowPunct/>
        <w:topLinePunct w:val="0"/>
        <w:autoSpaceDE/>
        <w:bidi w:val="0"/>
        <w:adjustRightInd/>
        <w:snapToGrid/>
        <w:spacing w:beforeAutospacing="0" w:afterAutospacing="0" w:line="240" w:lineRule="auto"/>
        <w:jc w:val="both"/>
        <w:outlineLvl w:val="9"/>
        <w:rPr>
          <w:rFonts w:hint="eastAsia" w:ascii="宋体" w:hAnsi="宋体" w:eastAsia="黑体" w:cs="宋体"/>
          <w:bCs/>
          <w:sz w:val="32"/>
          <w:szCs w:val="32"/>
          <w:shd w:val="clear" w:color="auto" w:fill="FFFFFF"/>
          <w:lang w:val="en-US" w:eastAsia="zh-CN"/>
        </w:rPr>
      </w:pPr>
    </w:p>
    <w:p>
      <w:pPr>
        <w:pStyle w:val="10"/>
        <w:pageBreakBefore w:val="0"/>
        <w:shd w:val="clear" w:color="auto" w:fill="FFFFFF"/>
        <w:kinsoku/>
        <w:wordWrap/>
        <w:overflowPunct/>
        <w:topLinePunct w:val="0"/>
        <w:autoSpaceDE/>
        <w:bidi w:val="0"/>
        <w:adjustRightInd/>
        <w:snapToGrid/>
        <w:spacing w:beforeAutospacing="0" w:afterAutospacing="0" w:line="240" w:lineRule="auto"/>
        <w:ind w:firstLine="640" w:firstLineChars="200"/>
        <w:jc w:val="both"/>
        <w:outlineLvl w:val="9"/>
        <w:rPr>
          <w:rFonts w:ascii="宋体" w:hAnsi="宋体" w:cs="宋体"/>
          <w:sz w:val="32"/>
          <w:szCs w:val="32"/>
        </w:rPr>
      </w:pPr>
      <w:r>
        <w:rPr>
          <w:rFonts w:hint="eastAsia" w:ascii="宋体" w:hAnsi="宋体" w:eastAsia="黑体" w:cs="宋体"/>
          <w:bCs/>
          <w:sz w:val="32"/>
          <w:szCs w:val="32"/>
          <w:shd w:val="clear" w:color="auto" w:fill="FFFFFF"/>
        </w:rPr>
        <w:t>第三十八条</w:t>
      </w:r>
      <w:r>
        <w:rPr>
          <w:rFonts w:hint="eastAsia" w:ascii="宋体" w:hAnsi="宋体" w:cs="宋体"/>
          <w:bCs/>
          <w:sz w:val="32"/>
          <w:szCs w:val="32"/>
          <w:shd w:val="clear" w:color="auto" w:fill="FFFFFF"/>
        </w:rPr>
        <w:t xml:space="preserve">  </w:t>
      </w:r>
      <w:r>
        <w:rPr>
          <w:rFonts w:hint="eastAsia" w:ascii="宋体" w:hAnsi="宋体" w:cs="宋体"/>
          <w:sz w:val="32"/>
          <w:szCs w:val="32"/>
          <w:shd w:val="clear" w:color="auto" w:fill="FFFFFF"/>
        </w:rPr>
        <w:t>本办法自</w:t>
      </w:r>
      <w:r>
        <w:rPr>
          <w:rFonts w:hint="eastAsia" w:ascii="Times New Roman" w:hAnsi="Times New Roman" w:cs="宋体"/>
          <w:sz w:val="32"/>
          <w:szCs w:val="32"/>
          <w:shd w:val="clear" w:color="auto" w:fill="FFFFFF"/>
        </w:rPr>
        <w:t>2020</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日起施行。</w:t>
      </w:r>
      <w:r>
        <w:rPr>
          <w:rFonts w:hint="eastAsia" w:ascii="Times New Roman" w:hAnsi="Times New Roman" w:cs="宋体"/>
          <w:sz w:val="32"/>
          <w:szCs w:val="32"/>
          <w:shd w:val="clear" w:color="auto" w:fill="FFFFFF"/>
        </w:rPr>
        <w:t>1988</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19</w:t>
      </w:r>
      <w:r>
        <w:rPr>
          <w:rFonts w:hint="eastAsia" w:ascii="宋体" w:hAnsi="宋体" w:cs="宋体"/>
          <w:sz w:val="32"/>
          <w:szCs w:val="32"/>
          <w:shd w:val="clear" w:color="auto" w:fill="FFFFFF"/>
        </w:rPr>
        <w:t>日辽宁省人民政府发布、</w:t>
      </w:r>
      <w:r>
        <w:rPr>
          <w:rFonts w:hint="eastAsia" w:ascii="Times New Roman" w:hAnsi="Times New Roman" w:cs="宋体"/>
          <w:sz w:val="32"/>
          <w:szCs w:val="32"/>
          <w:shd w:val="clear" w:color="auto" w:fill="FFFFFF"/>
        </w:rPr>
        <w:t>2014</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8</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6</w:t>
      </w:r>
      <w:r>
        <w:rPr>
          <w:rFonts w:hint="eastAsia" w:ascii="宋体" w:hAnsi="宋体" w:cs="宋体"/>
          <w:sz w:val="32"/>
          <w:szCs w:val="32"/>
          <w:shd w:val="clear" w:color="auto" w:fill="FFFFFF"/>
        </w:rPr>
        <w:t>日第一次修正、</w:t>
      </w:r>
      <w:r>
        <w:rPr>
          <w:rFonts w:hint="eastAsia" w:ascii="Times New Roman" w:hAnsi="Times New Roman" w:cs="宋体"/>
          <w:sz w:val="32"/>
          <w:szCs w:val="32"/>
          <w:shd w:val="clear" w:color="auto" w:fill="FFFFFF"/>
        </w:rPr>
        <w:t>2015</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6</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14</w:t>
      </w:r>
      <w:r>
        <w:rPr>
          <w:rFonts w:hint="eastAsia" w:ascii="宋体" w:hAnsi="宋体" w:cs="宋体"/>
          <w:sz w:val="32"/>
          <w:szCs w:val="32"/>
          <w:shd w:val="clear" w:color="auto" w:fill="FFFFFF"/>
        </w:rPr>
        <w:t>日第二次修正的《关于实施〈旅馆业治安管理办法〉的若干规定》，</w:t>
      </w:r>
      <w:r>
        <w:rPr>
          <w:rFonts w:hint="eastAsia" w:ascii="Times New Roman" w:hAnsi="Times New Roman" w:cs="宋体"/>
          <w:sz w:val="32"/>
          <w:szCs w:val="32"/>
          <w:shd w:val="clear" w:color="auto" w:fill="FFFFFF"/>
        </w:rPr>
        <w:t>1988</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2</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24</w:t>
      </w:r>
      <w:r>
        <w:rPr>
          <w:rFonts w:hint="eastAsia" w:ascii="宋体" w:hAnsi="宋体" w:cs="宋体"/>
          <w:sz w:val="32"/>
          <w:szCs w:val="32"/>
          <w:shd w:val="clear" w:color="auto" w:fill="FFFFFF"/>
        </w:rPr>
        <w:t>日辽宁省人民政府发布、</w:t>
      </w:r>
      <w:r>
        <w:rPr>
          <w:rFonts w:hint="eastAsia" w:ascii="Times New Roman" w:hAnsi="Times New Roman" w:cs="宋体"/>
          <w:sz w:val="32"/>
          <w:szCs w:val="32"/>
          <w:shd w:val="clear" w:color="auto" w:fill="FFFFFF"/>
        </w:rPr>
        <w:t>1997</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12</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26</w:t>
      </w:r>
      <w:r>
        <w:rPr>
          <w:rFonts w:hint="eastAsia" w:ascii="宋体" w:hAnsi="宋体" w:cs="宋体"/>
          <w:sz w:val="32"/>
          <w:szCs w:val="32"/>
          <w:shd w:val="clear" w:color="auto" w:fill="FFFFFF"/>
        </w:rPr>
        <w:t>日第一次修正、</w:t>
      </w:r>
      <w:r>
        <w:rPr>
          <w:rFonts w:hint="eastAsia" w:ascii="Times New Roman" w:hAnsi="Times New Roman" w:cs="宋体"/>
          <w:sz w:val="32"/>
          <w:szCs w:val="32"/>
          <w:shd w:val="clear" w:color="auto" w:fill="FFFFFF"/>
        </w:rPr>
        <w:t>2011</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13</w:t>
      </w:r>
      <w:r>
        <w:rPr>
          <w:rFonts w:hint="eastAsia" w:ascii="宋体" w:hAnsi="宋体" w:cs="宋体"/>
          <w:sz w:val="32"/>
          <w:szCs w:val="32"/>
          <w:shd w:val="clear" w:color="auto" w:fill="FFFFFF"/>
        </w:rPr>
        <w:t>日第二次修正、</w:t>
      </w:r>
      <w:r>
        <w:rPr>
          <w:rFonts w:hint="eastAsia" w:ascii="Times New Roman" w:hAnsi="Times New Roman" w:cs="宋体"/>
          <w:sz w:val="32"/>
          <w:szCs w:val="32"/>
          <w:shd w:val="clear" w:color="auto" w:fill="FFFFFF"/>
        </w:rPr>
        <w:t>2014</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8</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6</w:t>
      </w:r>
      <w:r>
        <w:rPr>
          <w:rFonts w:hint="eastAsia" w:ascii="宋体" w:hAnsi="宋体" w:cs="宋体"/>
          <w:sz w:val="32"/>
          <w:szCs w:val="32"/>
          <w:shd w:val="clear" w:color="auto" w:fill="FFFFFF"/>
        </w:rPr>
        <w:t>日第三次修正、</w:t>
      </w:r>
      <w:r>
        <w:rPr>
          <w:rFonts w:hint="eastAsia" w:ascii="Times New Roman" w:hAnsi="Times New Roman" w:cs="宋体"/>
          <w:sz w:val="32"/>
          <w:szCs w:val="32"/>
          <w:shd w:val="clear" w:color="auto" w:fill="FFFFFF"/>
        </w:rPr>
        <w:t>2015</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6</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14</w:t>
      </w:r>
      <w:r>
        <w:rPr>
          <w:rFonts w:hint="eastAsia" w:ascii="宋体" w:hAnsi="宋体" w:cs="宋体"/>
          <w:sz w:val="32"/>
          <w:szCs w:val="32"/>
          <w:shd w:val="clear" w:color="auto" w:fill="FFFFFF"/>
        </w:rPr>
        <w:t>日第四次修正、</w:t>
      </w:r>
      <w:r>
        <w:rPr>
          <w:rFonts w:hint="eastAsia" w:ascii="Times New Roman" w:hAnsi="Times New Roman" w:cs="宋体"/>
          <w:sz w:val="32"/>
          <w:szCs w:val="32"/>
          <w:shd w:val="clear" w:color="auto" w:fill="FFFFFF"/>
        </w:rPr>
        <w:t>2016</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11</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29</w:t>
      </w:r>
      <w:r>
        <w:rPr>
          <w:rFonts w:hint="eastAsia" w:ascii="宋体" w:hAnsi="宋体" w:cs="宋体"/>
          <w:sz w:val="32"/>
          <w:szCs w:val="32"/>
          <w:shd w:val="clear" w:color="auto" w:fill="FFFFFF"/>
        </w:rPr>
        <w:t>日第五次修正的《辽宁省刻字业治安管理办法》，</w:t>
      </w:r>
      <w:r>
        <w:rPr>
          <w:rFonts w:hint="eastAsia" w:ascii="Times New Roman" w:hAnsi="Times New Roman" w:cs="宋体"/>
          <w:sz w:val="32"/>
          <w:szCs w:val="32"/>
          <w:shd w:val="clear" w:color="auto" w:fill="FFFFFF"/>
        </w:rPr>
        <w:t>1988</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12</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18</w:t>
      </w:r>
      <w:r>
        <w:rPr>
          <w:rFonts w:hint="eastAsia" w:ascii="宋体" w:hAnsi="宋体" w:cs="宋体"/>
          <w:sz w:val="32"/>
          <w:szCs w:val="32"/>
          <w:shd w:val="clear" w:color="auto" w:fill="FFFFFF"/>
        </w:rPr>
        <w:t>日辽宁省人民政府发布、</w:t>
      </w:r>
      <w:r>
        <w:rPr>
          <w:rFonts w:hint="eastAsia" w:ascii="Times New Roman" w:hAnsi="Times New Roman" w:cs="宋体"/>
          <w:sz w:val="32"/>
          <w:szCs w:val="32"/>
          <w:shd w:val="clear" w:color="auto" w:fill="FFFFFF"/>
        </w:rPr>
        <w:t>1997</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12</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26</w:t>
      </w:r>
      <w:r>
        <w:rPr>
          <w:rFonts w:hint="eastAsia" w:ascii="宋体" w:hAnsi="宋体" w:cs="宋体"/>
          <w:sz w:val="32"/>
          <w:szCs w:val="32"/>
          <w:shd w:val="clear" w:color="auto" w:fill="FFFFFF"/>
        </w:rPr>
        <w:t>日第一次修正、</w:t>
      </w:r>
      <w:r>
        <w:rPr>
          <w:rFonts w:hint="eastAsia" w:ascii="Times New Roman" w:hAnsi="Times New Roman" w:cs="宋体"/>
          <w:sz w:val="32"/>
          <w:szCs w:val="32"/>
          <w:shd w:val="clear" w:color="auto" w:fill="FFFFFF"/>
        </w:rPr>
        <w:t>2004</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9</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2</w:t>
      </w:r>
      <w:r>
        <w:rPr>
          <w:rFonts w:hint="eastAsia" w:ascii="宋体" w:hAnsi="宋体" w:cs="宋体"/>
          <w:sz w:val="32"/>
          <w:szCs w:val="32"/>
          <w:shd w:val="clear" w:color="auto" w:fill="FFFFFF"/>
        </w:rPr>
        <w:t>日第二次修正、</w:t>
      </w:r>
      <w:r>
        <w:rPr>
          <w:rFonts w:hint="eastAsia" w:ascii="Times New Roman" w:hAnsi="Times New Roman" w:cs="宋体"/>
          <w:sz w:val="32"/>
          <w:szCs w:val="32"/>
          <w:shd w:val="clear" w:color="auto" w:fill="FFFFFF"/>
        </w:rPr>
        <w:t>2011</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13</w:t>
      </w:r>
      <w:r>
        <w:rPr>
          <w:rFonts w:hint="eastAsia" w:ascii="宋体" w:hAnsi="宋体" w:cs="宋体"/>
          <w:sz w:val="32"/>
          <w:szCs w:val="32"/>
          <w:shd w:val="clear" w:color="auto" w:fill="FFFFFF"/>
        </w:rPr>
        <w:t>日第三次修正的《辽宁省旧货业治安管理办法》，</w:t>
      </w:r>
      <w:r>
        <w:rPr>
          <w:rFonts w:hint="eastAsia" w:ascii="Times New Roman" w:hAnsi="Times New Roman" w:cs="宋体"/>
          <w:sz w:val="32"/>
          <w:szCs w:val="32"/>
          <w:shd w:val="clear" w:color="auto" w:fill="FFFFFF"/>
        </w:rPr>
        <w:t>2006</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12</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24</w:t>
      </w:r>
      <w:r>
        <w:rPr>
          <w:rFonts w:hint="eastAsia" w:ascii="宋体" w:hAnsi="宋体" w:cs="宋体"/>
          <w:sz w:val="32"/>
          <w:szCs w:val="32"/>
          <w:shd w:val="clear" w:color="auto" w:fill="FFFFFF"/>
        </w:rPr>
        <w:t>日发布的《辽宁省锁具修理业管理规定》同时废止。</w:t>
      </w:r>
    </w:p>
    <w:p>
      <w:pPr>
        <w:pageBreakBefore w:val="0"/>
        <w:kinsoku/>
        <w:wordWrap/>
        <w:overflowPunct/>
        <w:topLinePunct w:val="0"/>
        <w:autoSpaceDE/>
        <w:bidi w:val="0"/>
        <w:adjustRightInd/>
        <w:snapToGrid/>
        <w:spacing w:line="240" w:lineRule="auto"/>
        <w:ind w:firstLine="640" w:firstLineChars="200"/>
        <w:jc w:val="both"/>
        <w:outlineLvl w:val="9"/>
        <w:rPr>
          <w:rStyle w:val="13"/>
          <w:rFonts w:ascii="宋体" w:hAnsi="宋体" w:cs="宋体"/>
          <w:b w:val="0"/>
          <w:sz w:val="32"/>
          <w:szCs w:val="32"/>
          <w:shd w:val="clear" w:color="auto" w:fill="FFFFFF"/>
        </w:rPr>
      </w:pP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E9596"/>
    <w:multiLevelType w:val="singleLevel"/>
    <w:tmpl w:val="CD0E9596"/>
    <w:lvl w:ilvl="0" w:tentative="0">
      <w:start w:val="6"/>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AC85722"/>
    <w:rsid w:val="1DEC284C"/>
    <w:rsid w:val="1E6523AC"/>
    <w:rsid w:val="22440422"/>
    <w:rsid w:val="2E645478"/>
    <w:rsid w:val="31A15F24"/>
    <w:rsid w:val="379A6DDD"/>
    <w:rsid w:val="395347B5"/>
    <w:rsid w:val="39A232A0"/>
    <w:rsid w:val="39E745AA"/>
    <w:rsid w:val="3B5A6BBB"/>
    <w:rsid w:val="3D8C4AA4"/>
    <w:rsid w:val="3EDA13A6"/>
    <w:rsid w:val="42F058B7"/>
    <w:rsid w:val="436109F6"/>
    <w:rsid w:val="441A38D4"/>
    <w:rsid w:val="449B1C7E"/>
    <w:rsid w:val="4BC77339"/>
    <w:rsid w:val="4C9236C5"/>
    <w:rsid w:val="505C172E"/>
    <w:rsid w:val="52F46F0B"/>
    <w:rsid w:val="53D8014D"/>
    <w:rsid w:val="55E064E0"/>
    <w:rsid w:val="572C6D10"/>
    <w:rsid w:val="5DC34279"/>
    <w:rsid w:val="608816D1"/>
    <w:rsid w:val="60EF4E7F"/>
    <w:rsid w:val="6368489E"/>
    <w:rsid w:val="660254A6"/>
    <w:rsid w:val="665233C1"/>
    <w:rsid w:val="67470A9D"/>
    <w:rsid w:val="6AD9688B"/>
    <w:rsid w:val="6D0E3F22"/>
    <w:rsid w:val="6DCF488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15"/>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customStyle="1" w:styleId="15">
    <w:name w:val="标题 3 Char"/>
    <w:link w:val="5"/>
    <w:qFormat/>
    <w:uiPriority w:val="0"/>
    <w:rPr>
      <w:rFonts w:hint="eastAsia" w:ascii="宋体" w:hAnsi="宋体" w:eastAsia="黑体" w:cs="宋体"/>
      <w:kern w:val="0"/>
      <w:sz w:val="24"/>
      <w:szCs w:val="27"/>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皮豆小坦克</cp:lastModifiedBy>
  <cp:lastPrinted>2021-10-26T03:30:00Z</cp:lastPrinted>
  <dcterms:modified xsi:type="dcterms:W3CDTF">2021-12-23T01:32:55Z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D94798576BF041EC91DEEED02B32C822</vt:lpwstr>
  </property>
</Properties>
</file>