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bidi w:val="0"/>
        <w:adjustRightInd/>
        <w:snapToGrid/>
        <w:spacing w:after="0" w:afterLines="0" w:line="240" w:lineRule="auto"/>
        <w:ind w:left="0" w:leftChars="0" w:firstLine="0" w:firstLineChars="0"/>
        <w:jc w:val="both"/>
        <w:outlineLvl w:val="9"/>
        <w:rPr>
          <w:rFonts w:hint="eastAsia" w:ascii="宋体" w:hAnsi="宋体" w:eastAsia="宋体" w:cs="宋体"/>
          <w:sz w:val="44"/>
          <w:szCs w:val="44"/>
        </w:rPr>
      </w:pPr>
      <w:bookmarkStart w:id="0" w:name="_Toc6400"/>
    </w:p>
    <w:p>
      <w:pPr>
        <w:pageBreakBefore w:val="0"/>
        <w:kinsoku/>
        <w:wordWrap/>
        <w:overflowPunct/>
        <w:topLinePunct w:val="0"/>
        <w:autoSpaceDE/>
        <w:bidi w:val="0"/>
        <w:adjustRightInd/>
        <w:snapToGrid/>
        <w:spacing w:after="0" w:afterLines="0" w:line="240" w:lineRule="auto"/>
        <w:ind w:left="0" w:leftChars="0" w:firstLine="0" w:firstLineChars="0"/>
        <w:jc w:val="both"/>
        <w:outlineLvl w:val="9"/>
        <w:rPr>
          <w:rFonts w:hint="eastAsia" w:ascii="宋体" w:hAnsi="宋体" w:eastAsia="宋体" w:cs="宋体"/>
          <w:sz w:val="44"/>
          <w:szCs w:val="44"/>
        </w:rPr>
      </w:pPr>
    </w:p>
    <w:p>
      <w:pPr>
        <w:pageBreakBefore w:val="0"/>
        <w:kinsoku/>
        <w:wordWrap/>
        <w:overflowPunct/>
        <w:topLinePunct w:val="0"/>
        <w:autoSpaceDE/>
        <w:bidi w:val="0"/>
        <w:adjustRightInd/>
        <w:snapToGrid/>
        <w:spacing w:after="0" w:afterLines="0" w:line="240" w:lineRule="auto"/>
        <w:ind w:left="0" w:leftChars="0" w:firstLine="0" w:firstLineChars="0"/>
        <w:jc w:val="center"/>
        <w:outlineLvl w:val="9"/>
        <w:rPr>
          <w:rFonts w:hint="eastAsia" w:ascii="宋体" w:hAnsi="宋体" w:eastAsia="宋体" w:cs="宋体"/>
          <w:sz w:val="44"/>
          <w:szCs w:val="44"/>
        </w:rPr>
      </w:pPr>
      <w:r>
        <w:rPr>
          <w:rFonts w:hint="eastAsia" w:ascii="宋体" w:hAnsi="宋体" w:eastAsia="宋体" w:cs="宋体"/>
          <w:sz w:val="44"/>
          <w:szCs w:val="44"/>
        </w:rPr>
        <w:t>辽宁省古塔保护办法</w:t>
      </w:r>
      <w:bookmarkEnd w:id="0"/>
    </w:p>
    <w:p>
      <w:pPr>
        <w:pageBreakBefore w:val="0"/>
        <w:kinsoku/>
        <w:wordWrap/>
        <w:overflowPunct/>
        <w:topLinePunct w:val="0"/>
        <w:autoSpaceDE/>
        <w:bidi w:val="0"/>
        <w:adjustRightInd/>
        <w:snapToGrid/>
        <w:spacing w:beforeLines="0" w:afterLines="0" w:line="240" w:lineRule="auto"/>
        <w:ind w:firstLine="640" w:firstLineChars="200"/>
        <w:jc w:val="both"/>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（2020年11月25日辽宁省人民政府令第334号公布 自2021年2月1日起施行）</w:t>
      </w:r>
    </w:p>
    <w:p>
      <w:pPr>
        <w:pageBreakBefore w:val="0"/>
        <w:kinsoku/>
        <w:wordWrap/>
        <w:overflowPunct/>
        <w:topLinePunct w:val="0"/>
        <w:autoSpaceDE/>
        <w:bidi w:val="0"/>
        <w:adjustRightInd/>
        <w:snapToGrid/>
        <w:spacing w:line="240" w:lineRule="auto"/>
        <w:ind w:firstLine="640" w:firstLineChars="200"/>
        <w:jc w:val="both"/>
        <w:outlineLvl w:val="9"/>
        <w:rPr>
          <w:rStyle w:val="13"/>
          <w:rFonts w:ascii="宋体" w:hAnsi="宋体" w:cs="宋体"/>
          <w:b w:val="0"/>
          <w:sz w:val="32"/>
          <w:szCs w:val="32"/>
          <w:shd w:val="clear" w:color="auto" w:fill="FFFFFF"/>
        </w:rPr>
      </w:pPr>
      <w:bookmarkStart w:id="1" w:name="_GoBack"/>
      <w:bookmarkEnd w:id="1"/>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Style w:val="13"/>
          <w:rFonts w:hint="eastAsia" w:ascii="宋体" w:hAnsi="宋体" w:eastAsia="黑体" w:cs="宋体"/>
          <w:b w:val="0"/>
          <w:sz w:val="32"/>
          <w:szCs w:val="32"/>
          <w:shd w:val="clear" w:color="auto" w:fill="FFFFFF"/>
        </w:rPr>
        <w:t xml:space="preserve">第一条  </w:t>
      </w:r>
      <w:r>
        <w:rPr>
          <w:rFonts w:hint="eastAsia" w:ascii="宋体" w:hAnsi="宋体" w:cs="宋体"/>
          <w:sz w:val="32"/>
          <w:szCs w:val="32"/>
          <w:shd w:val="clear" w:color="auto" w:fill="FFFFFF"/>
        </w:rPr>
        <w:t>为了加强对古塔的保护和管理，继承优秀历史文化遗产，根据《中华人民共和国文物保护法》《中华人民共和国文物保护法实施条例》等法律、法规，结合我省实际，制定本办法。</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第二条  </w:t>
      </w:r>
      <w:r>
        <w:rPr>
          <w:rFonts w:hint="eastAsia" w:ascii="宋体" w:hAnsi="宋体" w:cs="宋体"/>
          <w:sz w:val="32"/>
          <w:szCs w:val="32"/>
          <w:shd w:val="clear" w:color="auto" w:fill="FFFFFF"/>
        </w:rPr>
        <w:t>本办法所称古塔，是指建于</w:t>
      </w:r>
      <w:r>
        <w:rPr>
          <w:rFonts w:hint="eastAsia" w:ascii="Times New Roman" w:hAnsi="Times New Roman" w:cs="宋体"/>
          <w:sz w:val="32"/>
          <w:szCs w:val="32"/>
          <w:shd w:val="clear" w:color="auto" w:fill="FFFFFF"/>
        </w:rPr>
        <w:t>1949</w:t>
      </w:r>
      <w:r>
        <w:rPr>
          <w:rFonts w:hint="eastAsia" w:ascii="宋体" w:hAnsi="宋体" w:cs="宋体"/>
          <w:sz w:val="32"/>
          <w:szCs w:val="32"/>
          <w:shd w:val="clear" w:color="auto" w:fill="FFFFFF"/>
        </w:rPr>
        <w:t>年以前具有历史、艺术或者科学文化价值，能够反映历史风貌和地方特色的塔。</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第三条  </w:t>
      </w:r>
      <w:r>
        <w:rPr>
          <w:rFonts w:hint="eastAsia" w:ascii="宋体" w:hAnsi="宋体" w:cs="宋体"/>
          <w:sz w:val="32"/>
          <w:szCs w:val="32"/>
          <w:shd w:val="clear" w:color="auto" w:fill="FFFFFF"/>
        </w:rPr>
        <w:t>我省行政区域内古塔的保护、管理、修缮、利用等活动，适用本办法。</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第四条  </w:t>
      </w:r>
      <w:r>
        <w:rPr>
          <w:rFonts w:hint="eastAsia" w:ascii="宋体" w:hAnsi="宋体" w:cs="宋体"/>
          <w:sz w:val="32"/>
          <w:szCs w:val="32"/>
          <w:shd w:val="clear" w:color="auto" w:fill="FFFFFF"/>
        </w:rPr>
        <w:t>省、市、县（含县级市、区，下同）政府应当根据古塔分布和保护实际，建立古塔保护工作协调机制，编制古塔保护规划和名录，并将古塔保护所需经费列入本级财政预算。</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第五条  </w:t>
      </w:r>
      <w:r>
        <w:rPr>
          <w:rFonts w:hint="eastAsia" w:ascii="宋体" w:hAnsi="宋体" w:cs="宋体"/>
          <w:sz w:val="32"/>
          <w:szCs w:val="32"/>
          <w:shd w:val="clear" w:color="auto" w:fill="FFFFFF"/>
        </w:rPr>
        <w:t>省、市、县文物行政主管部门负责本行政区域内文物保护名录内古塔保护的监督管理。</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自然资源、住房城乡建设、公安、林草、民族和宗教、应急等部门按照职责，做好文物保护名录内古塔保护的监督管理相关工作。</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未列入文物保护名录的古塔，由其所在的博物馆、风景名胜区、公园或者宗教场所等管理和使用单位负责保护和管理；没有管理和使用单位的，由古塔所在地的乡镇政府、街道办事处负责保护和管理。</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古塔所在地的村（居）民委员会应当将古塔保护纳入村规民约或者居民公约，引导村（居）民自觉保护古塔。</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第六条  </w:t>
      </w:r>
      <w:r>
        <w:rPr>
          <w:rFonts w:hint="eastAsia" w:ascii="宋体" w:hAnsi="宋体" w:cs="宋体"/>
          <w:sz w:val="32"/>
          <w:szCs w:val="32"/>
          <w:shd w:val="clear" w:color="auto" w:fill="FFFFFF"/>
        </w:rPr>
        <w:t>鼓励社会力量通过捐赠等方式参与古塔保护。</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鼓励文物保护志愿者担任古塔义务看护人，依法参与古塔保护。</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第七条  </w:t>
      </w:r>
      <w:r>
        <w:rPr>
          <w:rFonts w:hint="eastAsia" w:ascii="宋体" w:hAnsi="宋体" w:cs="宋体"/>
          <w:sz w:val="32"/>
          <w:szCs w:val="32"/>
          <w:shd w:val="clear" w:color="auto" w:fill="FFFFFF"/>
        </w:rPr>
        <w:t>文物行政主管部门应当会同自然资源、住房城乡建设等部门，按照管理权限对确定为文物保护单位的古塔划定保护范围和建设控制地带，按照规定报经批准后向社会公布。</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第八条  </w:t>
      </w:r>
      <w:r>
        <w:rPr>
          <w:rFonts w:hint="eastAsia" w:ascii="宋体" w:hAnsi="宋体" w:cs="宋体"/>
          <w:sz w:val="32"/>
          <w:szCs w:val="32"/>
          <w:shd w:val="clear" w:color="auto" w:fill="FFFFFF"/>
        </w:rPr>
        <w:t>文物行政主管部门应当会同有关部门按照划定的古塔保护范围设立界桩、标识等保护标志，以及必要的安全隔离设施。</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任何单位和个人不得擅自移动、破坏界桩、标识等保护标志。</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第九条  </w:t>
      </w:r>
      <w:r>
        <w:rPr>
          <w:rFonts w:hint="eastAsia" w:ascii="宋体" w:hAnsi="宋体" w:cs="宋体"/>
          <w:sz w:val="32"/>
          <w:szCs w:val="32"/>
          <w:shd w:val="clear" w:color="auto" w:fill="FFFFFF"/>
        </w:rPr>
        <w:t>古塔保护范围内不得进行其他建设工程或者爆破、钻探、挖掘等作业。因特殊情况需要进行上述作业的，应当按照法律、法规和国家有关规定报经批准同意。建设单位或者施工单位应当制定相应的保护方案，严格按照保护方案实施，保证古塔的安全。</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第十条  </w:t>
      </w:r>
      <w:r>
        <w:rPr>
          <w:rFonts w:hint="eastAsia" w:ascii="宋体" w:hAnsi="宋体" w:cs="宋体"/>
          <w:sz w:val="32"/>
          <w:szCs w:val="32"/>
          <w:shd w:val="clear" w:color="auto" w:fill="FFFFFF"/>
        </w:rPr>
        <w:t>禁止下列危害和影响古塔安全的行为：</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（一）擅自修缮、改变古塔外观和风貌；</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（二）擅自拆卸建筑构件；</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（三）损坏建筑承重结构；</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（四）挖掘、破坏塔基；</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（五）在保护范围内违法搭建建筑物、构筑物；</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（六）在保护范围内堆放易燃、易爆、腐蚀性等危险物品；</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（七）其他危害和影响古塔安全的行为。</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第十一条  </w:t>
      </w:r>
      <w:r>
        <w:rPr>
          <w:rFonts w:hint="eastAsia" w:ascii="宋体" w:hAnsi="宋体" w:cs="宋体"/>
          <w:sz w:val="32"/>
          <w:szCs w:val="32"/>
          <w:shd w:val="clear" w:color="auto" w:fill="FFFFFF"/>
        </w:rPr>
        <w:t>文物行政主管部门应当会同古塔管理使用单位和古塔所在地的乡镇政府、街道办事处（以下简称古塔保护责任单位），运用现代科技手段加强文物保护名录内古塔的巡查保护，可以通过购买社会服务等方式为无使用单位的文物保护名录内古塔设立看护人。</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第十二条  </w:t>
      </w:r>
      <w:r>
        <w:rPr>
          <w:rFonts w:hint="eastAsia" w:ascii="宋体" w:hAnsi="宋体" w:cs="宋体"/>
          <w:sz w:val="32"/>
          <w:szCs w:val="32"/>
          <w:shd w:val="clear" w:color="auto" w:fill="FFFFFF"/>
        </w:rPr>
        <w:t>市、县政府应当组织有关部门加强古塔周边环境整治，推进古塔本体保护与周边环境保护，统筹安排周边区域空间功能和建设项目。</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文物行政主管部门应当会同公安、自然资源、住房城乡建设等部门，建立健全执法协作机制，完善行政执法信息共享和工作通报制度，依法查处危害、损坏文物保护名录内古塔的行为。</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第十三条  </w:t>
      </w:r>
      <w:r>
        <w:rPr>
          <w:rFonts w:hint="eastAsia" w:ascii="宋体" w:hAnsi="宋体" w:cs="宋体"/>
          <w:sz w:val="32"/>
          <w:szCs w:val="32"/>
          <w:shd w:val="clear" w:color="auto" w:fill="FFFFFF"/>
        </w:rPr>
        <w:t>古塔保护责任单位应当履行下列义务：</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（一）建立健全古塔安全管理制度，制定应急管理预案；</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（二）对古塔进行日常维护、维修、巡查；</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（三）落实古塔防火、防雷、防盗、防震、防风、防虫等安全保护措施；</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（四）开展与古塔有关的文献资料搜集、历史价值阐释研究；</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（五）其他依法或者依据约定应当履行的保护义务。</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第十四条  </w:t>
      </w:r>
      <w:r>
        <w:rPr>
          <w:rFonts w:hint="eastAsia" w:ascii="宋体" w:hAnsi="宋体" w:cs="宋体"/>
          <w:sz w:val="32"/>
          <w:szCs w:val="32"/>
          <w:shd w:val="clear" w:color="auto" w:fill="FFFFFF"/>
        </w:rPr>
        <w:t>古塔保护责任单位应当建立古塔险情报告制度，掌握古塔保存现状，及时发现、记录、报告和妥善处理日常病害险情。</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第十五条  </w:t>
      </w:r>
      <w:r>
        <w:rPr>
          <w:rFonts w:hint="eastAsia" w:ascii="宋体" w:hAnsi="宋体" w:cs="宋体"/>
          <w:sz w:val="32"/>
          <w:szCs w:val="32"/>
          <w:shd w:val="clear" w:color="auto" w:fill="FFFFFF"/>
        </w:rPr>
        <w:t>古塔保护责任单位对有本体安全风险的古塔，应当采取必要的抢险保护措施；需要进行保护性工程干预的，应当将本体修缮、安全防护等纳入工作计划，履行相应的审批程序，按照规定实施修缮。</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古塔修缮应当遵循不改变文物原状和最小干预原则，采用传统工艺技术，保持其原有风貌、形制、结构和工艺。</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第十六条  </w:t>
      </w:r>
      <w:r>
        <w:rPr>
          <w:rFonts w:hint="eastAsia" w:ascii="宋体" w:hAnsi="宋体" w:cs="宋体"/>
          <w:sz w:val="32"/>
          <w:szCs w:val="32"/>
          <w:shd w:val="clear" w:color="auto" w:fill="FFFFFF"/>
        </w:rPr>
        <w:t>鼓励通过以下方式依法合理利用古塔：</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（一）开办古塔展示馆；</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（二）开办教育培训基地；</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（三）辟为参观游览场所；</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（四）其他有利于古塔保护的利用方式。</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利用古塔必须遵守文物保护工作的方针，其活动不得对古塔造成损害。</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第十七条  </w:t>
      </w:r>
      <w:r>
        <w:rPr>
          <w:rFonts w:hint="eastAsia" w:ascii="宋体" w:hAnsi="宋体" w:cs="宋体"/>
          <w:sz w:val="32"/>
          <w:szCs w:val="32"/>
          <w:shd w:val="clear" w:color="auto" w:fill="FFFFFF"/>
        </w:rPr>
        <w:t>文物行政主管部门应当公开举报电话，或者运用移动终端、互联网等现代信息技术手段，为公众举报危害文物保护名录内古塔安全的行为提供便利，对接到的举报依法处理并及时反馈。</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第十八条  </w:t>
      </w:r>
      <w:r>
        <w:rPr>
          <w:rFonts w:hint="eastAsia" w:ascii="宋体" w:hAnsi="宋体" w:cs="宋体"/>
          <w:sz w:val="32"/>
          <w:szCs w:val="32"/>
          <w:shd w:val="clear" w:color="auto" w:fill="FFFFFF"/>
        </w:rPr>
        <w:t>文物行政主管部门和其他有关部门及其工作人员违反文物保护名录内古塔保护的有关规定，有下列情形之一的，依法依规给予处分；构成犯罪的，依法追究刑事责任：</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（一）对危害古塔安全的举报未依法及时处理的；</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（二）不依法履行职责导致古塔损坏、损毁的；</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（三）利用古塔过程中危害和影响古塔安全的；</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（四）其他玩忽职守、滥用职权、徇私舞弊的情形。</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第十九条  </w:t>
      </w:r>
      <w:r>
        <w:rPr>
          <w:rFonts w:hint="eastAsia" w:ascii="宋体" w:hAnsi="宋体" w:cs="宋体"/>
          <w:sz w:val="32"/>
          <w:szCs w:val="32"/>
          <w:shd w:val="clear" w:color="auto" w:fill="FFFFFF"/>
        </w:rPr>
        <w:t>违反本</w:t>
      </w:r>
      <w:r>
        <w:rPr>
          <w:rFonts w:hint="eastAsia" w:cs="仿宋_GB2312"/>
          <w:sz w:val="32"/>
          <w:szCs w:val="32"/>
          <w:shd w:val="clear" w:color="auto" w:fill="FFFFFF"/>
        </w:rPr>
        <w:t>办法第十条规定，危害、影响文物保护名录内古塔安全的，由文物行政主管部门责令改正；拒不改正的，对有经营活动的单位和个人处</w:t>
      </w:r>
      <w:r>
        <w:rPr>
          <w:rFonts w:hint="eastAsia" w:ascii="Times New Roman" w:hAnsi="Times New Roman" w:cs="仿宋_GB2312"/>
          <w:sz w:val="32"/>
          <w:szCs w:val="32"/>
          <w:shd w:val="clear" w:color="auto" w:fill="FFFFFF"/>
        </w:rPr>
        <w:t>1</w:t>
      </w:r>
      <w:r>
        <w:rPr>
          <w:rFonts w:hint="eastAsia" w:cs="仿宋_GB2312"/>
          <w:sz w:val="32"/>
          <w:szCs w:val="32"/>
          <w:shd w:val="clear" w:color="auto" w:fill="FFFFFF"/>
        </w:rPr>
        <w:t>万元以上</w:t>
      </w:r>
      <w:r>
        <w:rPr>
          <w:rFonts w:hint="eastAsia" w:ascii="Times New Roman" w:hAnsi="Times New Roman" w:cs="仿宋_GB2312"/>
          <w:sz w:val="32"/>
          <w:szCs w:val="32"/>
          <w:shd w:val="clear" w:color="auto" w:fill="FFFFFF"/>
        </w:rPr>
        <w:t>3</w:t>
      </w:r>
      <w:r>
        <w:rPr>
          <w:rFonts w:hint="eastAsia" w:cs="仿宋_GB2312"/>
          <w:sz w:val="32"/>
          <w:szCs w:val="32"/>
          <w:shd w:val="clear" w:color="auto" w:fill="FFFFFF"/>
        </w:rPr>
        <w:t>万元以下罚款，对非经营活动的单位和个人处</w:t>
      </w:r>
      <w:r>
        <w:rPr>
          <w:rFonts w:hint="eastAsia" w:ascii="Times New Roman" w:hAnsi="Times New Roman" w:cs="仿宋_GB2312"/>
          <w:sz w:val="32"/>
          <w:szCs w:val="32"/>
          <w:shd w:val="clear" w:color="auto" w:fill="FFFFFF"/>
        </w:rPr>
        <w:t>1</w:t>
      </w:r>
      <w:r>
        <w:rPr>
          <w:rFonts w:hint="eastAsia" w:cs="仿宋_GB2312"/>
          <w:sz w:val="32"/>
          <w:szCs w:val="32"/>
          <w:shd w:val="clear" w:color="auto" w:fill="FFFFFF"/>
        </w:rPr>
        <w:t>千元罚款。违</w:t>
      </w:r>
      <w:r>
        <w:rPr>
          <w:rFonts w:hint="eastAsia" w:ascii="宋体" w:hAnsi="宋体" w:cs="宋体"/>
          <w:sz w:val="32"/>
          <w:szCs w:val="32"/>
          <w:shd w:val="clear" w:color="auto" w:fill="FFFFFF"/>
        </w:rPr>
        <w:t>反国家有关文物保护或者危险化学品管理法律、法规的，由有关部门依法处罚。</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危害、影响未列入文物保护名录古塔安全的，由县级政府指定有关部门按照前款规定处理。</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第二十条  </w:t>
      </w:r>
      <w:r>
        <w:rPr>
          <w:rFonts w:hint="eastAsia" w:ascii="宋体" w:hAnsi="宋体" w:cs="宋体"/>
          <w:sz w:val="32"/>
          <w:szCs w:val="32"/>
          <w:shd w:val="clear" w:color="auto" w:fill="FFFFFF"/>
        </w:rPr>
        <w:t>违反本办法规定的行为，法律、法规有处罚规定的，从其规定。</w:t>
      </w:r>
    </w:p>
    <w:p>
      <w:pPr>
        <w:pageBreakBefore w:val="0"/>
        <w:kinsoku/>
        <w:wordWrap/>
        <w:overflowPunct/>
        <w:topLinePunct w:val="0"/>
        <w:autoSpaceDE/>
        <w:bidi w:val="0"/>
        <w:adjustRightInd/>
        <w:snapToGrid/>
        <w:spacing w:line="240" w:lineRule="auto"/>
        <w:ind w:firstLine="640" w:firstLineChars="200"/>
        <w:jc w:val="both"/>
        <w:outlineLvl w:val="9"/>
        <w:rPr>
          <w:rStyle w:val="13"/>
          <w:rFonts w:ascii="宋体" w:hAnsi="宋体" w:cs="宋体"/>
          <w:b w:val="0"/>
          <w:sz w:val="32"/>
          <w:szCs w:val="32"/>
          <w:shd w:val="clear" w:color="auto" w:fill="FFFFFF"/>
        </w:rPr>
      </w:pPr>
      <w:r>
        <w:rPr>
          <w:rFonts w:hint="eastAsia" w:ascii="宋体" w:hAnsi="宋体" w:eastAsia="黑体" w:cs="宋体"/>
          <w:bCs/>
          <w:sz w:val="32"/>
          <w:szCs w:val="32"/>
          <w:shd w:val="clear" w:color="auto" w:fill="FFFFFF"/>
        </w:rPr>
        <w:t xml:space="preserve">第二十一条  </w:t>
      </w:r>
      <w:r>
        <w:rPr>
          <w:rFonts w:hint="eastAsia" w:ascii="宋体" w:hAnsi="宋体" w:cs="宋体"/>
          <w:sz w:val="32"/>
          <w:szCs w:val="32"/>
          <w:shd w:val="clear" w:color="auto" w:fill="FFFFFF"/>
        </w:rPr>
        <w:t>本办法自</w:t>
      </w:r>
      <w:r>
        <w:rPr>
          <w:rFonts w:hint="eastAsia" w:ascii="Times New Roman" w:hAnsi="Times New Roman" w:cs="宋体"/>
          <w:sz w:val="32"/>
          <w:szCs w:val="32"/>
          <w:shd w:val="clear" w:color="auto" w:fill="FFFFFF"/>
        </w:rPr>
        <w:t>2021</w:t>
      </w:r>
      <w:r>
        <w:rPr>
          <w:rFonts w:hint="eastAsia" w:ascii="宋体" w:hAnsi="宋体" w:cs="宋体"/>
          <w:sz w:val="32"/>
          <w:szCs w:val="32"/>
          <w:shd w:val="clear" w:color="auto" w:fill="FFFFFF"/>
        </w:rPr>
        <w:t>年</w:t>
      </w:r>
      <w:r>
        <w:rPr>
          <w:rFonts w:hint="eastAsia" w:ascii="Times New Roman" w:hAnsi="Times New Roman" w:cs="宋体"/>
          <w:sz w:val="32"/>
          <w:szCs w:val="32"/>
          <w:shd w:val="clear" w:color="auto" w:fill="FFFFFF"/>
        </w:rPr>
        <w:t>2</w:t>
      </w:r>
      <w:r>
        <w:rPr>
          <w:rFonts w:hint="eastAsia" w:ascii="宋体" w:hAnsi="宋体" w:cs="宋体"/>
          <w:sz w:val="32"/>
          <w:szCs w:val="32"/>
          <w:shd w:val="clear" w:color="auto" w:fill="FFFFFF"/>
        </w:rPr>
        <w:t>月</w:t>
      </w:r>
      <w:r>
        <w:rPr>
          <w:rFonts w:hint="eastAsia" w:ascii="Times New Roman" w:hAnsi="Times New Roman" w:cs="宋体"/>
          <w:sz w:val="32"/>
          <w:szCs w:val="32"/>
          <w:shd w:val="clear" w:color="auto" w:fill="FFFFFF"/>
        </w:rPr>
        <w:t>1</w:t>
      </w:r>
      <w:r>
        <w:rPr>
          <w:rFonts w:hint="eastAsia" w:ascii="宋体" w:hAnsi="宋体" w:cs="宋体"/>
          <w:sz w:val="32"/>
          <w:szCs w:val="32"/>
          <w:shd w:val="clear" w:color="auto" w:fill="FFFFFF"/>
        </w:rPr>
        <w:t>日起施行。</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5472"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X辽宁</w:t>
    </w:r>
    <w:r>
      <w:rPr>
        <w:rFonts w:hint="eastAsia" w:ascii="宋体" w:hAnsi="宋体" w:eastAsia="宋体" w:cs="宋体"/>
        <w:b/>
        <w:bCs/>
        <w:color w:val="005192"/>
        <w:sz w:val="28"/>
        <w:szCs w:val="44"/>
        <w:lang w:val="en-US" w:eastAsia="zh-CN"/>
      </w:rPr>
      <w:t>辽宁省人民政府发布</w:t>
    </w:r>
  </w:p>
  <w:p>
    <w:pPr>
      <w:pStyle w:val="9"/>
      <w:wordWrap w:val="0"/>
      <w:ind w:left="5472"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ind w:left="0" w:leftChars="0" w:firstLine="0" w:firstLineChars="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辽宁省人民政府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AC85722"/>
    <w:rsid w:val="1DEC284C"/>
    <w:rsid w:val="1E6523AC"/>
    <w:rsid w:val="22440422"/>
    <w:rsid w:val="2E645478"/>
    <w:rsid w:val="31A15F24"/>
    <w:rsid w:val="379A6DDD"/>
    <w:rsid w:val="395347B5"/>
    <w:rsid w:val="39A232A0"/>
    <w:rsid w:val="39E745AA"/>
    <w:rsid w:val="3B5A6BBB"/>
    <w:rsid w:val="3EDA13A6"/>
    <w:rsid w:val="410618C6"/>
    <w:rsid w:val="42F058B7"/>
    <w:rsid w:val="436109F6"/>
    <w:rsid w:val="441A38D4"/>
    <w:rsid w:val="4BC77339"/>
    <w:rsid w:val="4C9236C5"/>
    <w:rsid w:val="505C172E"/>
    <w:rsid w:val="52F46F0B"/>
    <w:rsid w:val="53D8014D"/>
    <w:rsid w:val="55E064E0"/>
    <w:rsid w:val="572C6D10"/>
    <w:rsid w:val="5DC34279"/>
    <w:rsid w:val="608816D1"/>
    <w:rsid w:val="60EF4E7F"/>
    <w:rsid w:val="660254A6"/>
    <w:rsid w:val="665233C1"/>
    <w:rsid w:val="67470A9D"/>
    <w:rsid w:val="6AD9688B"/>
    <w:rsid w:val="6D0E3F22"/>
    <w:rsid w:val="79103BF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beforeAutospacing="0" w:after="100" w:afterLines="100" w:afterAutospacing="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spacing w:beforeLines="0" w:beforeAutospacing="0" w:afterLines="0" w:afterAutospacing="0" w:line="400" w:lineRule="exact"/>
      <w:ind w:firstLine="0" w:firstLineChars="0"/>
      <w:outlineLvl w:val="1"/>
    </w:pPr>
    <w:rPr>
      <w:rFonts w:ascii="楷体_GB2312" w:hAnsi="楷体_GB2312" w:eastAsia="楷体_GB2312"/>
    </w:rPr>
  </w:style>
  <w:style w:type="paragraph" w:styleId="5">
    <w:name w:val="heading 3"/>
    <w:basedOn w:val="1"/>
    <w:next w:val="1"/>
    <w:link w:val="15"/>
    <w:qFormat/>
    <w:uiPriority w:val="0"/>
    <w:pPr>
      <w:spacing w:before="100" w:beforeAutospacing="1" w:after="100" w:afterAutospacing="1"/>
      <w:jc w:val="left"/>
      <w:outlineLvl w:val="2"/>
    </w:pPr>
    <w:rPr>
      <w:rFonts w:hint="eastAsia" w:ascii="宋体" w:hAnsi="宋体" w:eastAsia="黑体" w:cs="宋体"/>
      <w:kern w:val="0"/>
      <w:sz w:val="24"/>
      <w:szCs w:val="27"/>
      <w:lang w:bidi="ar"/>
    </w:rPr>
  </w:style>
  <w:style w:type="paragraph" w:styleId="6">
    <w:name w:val="heading 4"/>
    <w:basedOn w:val="1"/>
    <w:next w:val="1"/>
    <w:qFormat/>
    <w:uiPriority w:val="0"/>
    <w:pPr>
      <w:keepNext/>
      <w:keepLines w:val="0"/>
      <w:spacing w:before="50" w:beforeLines="50" w:beforeAutospacing="0" w:after="50" w:afterLines="50" w:afterAutospacing="0" w:line="400" w:lineRule="exact"/>
      <w:ind w:firstLine="0" w:firstLineChars="0"/>
      <w:jc w:val="center"/>
      <w:outlineLvl w:val="3"/>
    </w:pPr>
    <w:rPr>
      <w:rFonts w:ascii="Arial" w:hAnsi="Arial" w:eastAsia="黑体"/>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ind w:firstLine="632" w:firstLineChars="200"/>
    </w:p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qFormat/>
    <w:uiPriority w:val="0"/>
    <w:rPr>
      <w:b/>
    </w:rPr>
  </w:style>
  <w:style w:type="character" w:styleId="14">
    <w:name w:val="Hyperlink"/>
    <w:qFormat/>
    <w:uiPriority w:val="0"/>
    <w:rPr>
      <w:color w:val="0000FF"/>
      <w:u w:val="single"/>
    </w:rPr>
  </w:style>
  <w:style w:type="character" w:customStyle="1" w:styleId="15">
    <w:name w:val="标题 3 Char"/>
    <w:link w:val="5"/>
    <w:qFormat/>
    <w:uiPriority w:val="0"/>
    <w:rPr>
      <w:rFonts w:hint="eastAsia" w:ascii="宋体" w:hAnsi="宋体" w:eastAsia="黑体" w:cs="宋体"/>
      <w:kern w:val="0"/>
      <w:sz w:val="24"/>
      <w:szCs w:val="27"/>
      <w:lang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皮豆小坦克</cp:lastModifiedBy>
  <cp:lastPrinted>2021-10-26T03:30:00Z</cp:lastPrinted>
  <dcterms:modified xsi:type="dcterms:W3CDTF">2021-12-23T02:20:27Z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D94798576BF041EC91DEEED02B32C822</vt:lpwstr>
  </property>
</Properties>
</file>